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2A13" w14:textId="77777777" w:rsidR="00D8174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6BF631E" wp14:editId="074A603A">
                <wp:simplePos x="0" y="0"/>
                <wp:positionH relativeFrom="page">
                  <wp:posOffset>0</wp:posOffset>
                </wp:positionH>
                <wp:positionV relativeFrom="paragraph">
                  <wp:posOffset>98112</wp:posOffset>
                </wp:positionV>
                <wp:extent cx="1043940" cy="5746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574675"/>
                          <a:chOff x="0" y="0"/>
                          <a:chExt cx="1043940" cy="5746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4394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574675">
                                <a:moveTo>
                                  <a:pt x="76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4675"/>
                                </a:lnTo>
                                <a:lnTo>
                                  <a:pt x="765164" y="574675"/>
                                </a:lnTo>
                                <a:lnTo>
                                  <a:pt x="1043942" y="287400"/>
                                </a:lnTo>
                                <a:lnTo>
                                  <a:pt x="765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7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43940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E7DF0" w14:textId="77777777" w:rsidR="00D81746" w:rsidRDefault="00000000">
                              <w:pPr>
                                <w:spacing w:before="91"/>
                                <w:ind w:left="100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D9D9D9"/>
                                  <w:w w:val="115"/>
                                  <w:sz w:val="16"/>
                                </w:rPr>
                                <w:t>Under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D9D9D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D9D9D9"/>
                                  <w:spacing w:val="-2"/>
                                  <w:w w:val="115"/>
                                  <w:sz w:val="16"/>
                                </w:rPr>
                                <w:t>review</w:t>
                              </w:r>
                              <w:proofErr w:type="spellEnd"/>
                            </w:p>
                            <w:p w14:paraId="516250A7" w14:textId="77777777" w:rsidR="00D81746" w:rsidRDefault="00000000">
                              <w:pPr>
                                <w:spacing w:before="169"/>
                                <w:ind w:left="103" w:right="424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i/>
                                  <w:color w:val="D9D9D9"/>
                                  <w:spacing w:val="-2"/>
                                  <w:w w:val="120"/>
                                  <w:sz w:val="16"/>
                                </w:rPr>
                                <w:t>Published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i/>
                                  <w:color w:val="D9D9D9"/>
                                  <w:spacing w:val="-2"/>
                                  <w:w w:val="120"/>
                                  <w:sz w:val="16"/>
                                </w:rPr>
                                <w:t xml:space="preserve"> in </w:t>
                              </w:r>
                              <w:r>
                                <w:rPr>
                                  <w:rFonts w:ascii="Calibri"/>
                                  <w:i/>
                                  <w:color w:val="D9D9D9"/>
                                  <w:w w:val="120"/>
                                  <w:sz w:val="16"/>
                                </w:rPr>
                                <w:t>May 2013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F631E" id="Group 6" o:spid="_x0000_s1026" style="position:absolute;left:0;text-align:left;margin-left:0;margin-top:7.75pt;width:82.2pt;height:45.25pt;z-index:15729664;mso-wrap-distance-left:0;mso-wrap-distance-right:0;mso-position-horizontal-relative:page" coordsize="10439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">
                <v:shape id="Graphic 7" o:spid="_x0000_s1027" style="position:absolute;width:10439;height:5746;visibility:visible;mso-wrap-style:square;v-text-anchor:top" coordsize="1043940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" path="m765164,l,,,574675r765164,l1043942,287400,765164,xe" fillcolor="#66a7b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0439;height:5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DEE7DF0" w14:textId="77777777" w:rsidR="00D81746" w:rsidRDefault="00000000">
                        <w:pPr>
                          <w:spacing w:before="91"/>
                          <w:ind w:left="100"/>
                          <w:rPr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D9D9D9"/>
                            <w:w w:val="115"/>
                            <w:sz w:val="16"/>
                          </w:rPr>
                          <w:t>Under</w:t>
                        </w:r>
                        <w:proofErr w:type="spellEnd"/>
                        <w:r>
                          <w:rPr>
                            <w:b/>
                            <w:i/>
                            <w:color w:val="D9D9D9"/>
                            <w:w w:val="1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D9D9D9"/>
                            <w:spacing w:val="-2"/>
                            <w:w w:val="115"/>
                            <w:sz w:val="16"/>
                          </w:rPr>
                          <w:t>review</w:t>
                        </w:r>
                        <w:proofErr w:type="spellEnd"/>
                      </w:p>
                      <w:p w14:paraId="516250A7" w14:textId="77777777" w:rsidR="00D81746" w:rsidRDefault="00000000">
                        <w:pPr>
                          <w:spacing w:before="169"/>
                          <w:ind w:left="103" w:right="424"/>
                          <w:rPr>
                            <w:rFonts w:ascii="Calibri"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i/>
                            <w:color w:val="D9D9D9"/>
                            <w:spacing w:val="-2"/>
                            <w:w w:val="120"/>
                            <w:sz w:val="16"/>
                          </w:rPr>
                          <w:t>Published</w:t>
                        </w:r>
                        <w:proofErr w:type="spellEnd"/>
                        <w:r>
                          <w:rPr>
                            <w:rFonts w:ascii="Calibri"/>
                            <w:i/>
                            <w:color w:val="D9D9D9"/>
                            <w:spacing w:val="-2"/>
                            <w:w w:val="120"/>
                            <w:sz w:val="16"/>
                          </w:rPr>
                          <w:t xml:space="preserve"> in </w:t>
                        </w:r>
                        <w:r>
                          <w:rPr>
                            <w:rFonts w:ascii="Calibri"/>
                            <w:i/>
                            <w:color w:val="D9D9D9"/>
                            <w:w w:val="120"/>
                            <w:sz w:val="16"/>
                          </w:rPr>
                          <w:t>May 2013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5A3AE1" wp14:editId="5F91B136">
                <wp:simplePos x="0" y="0"/>
                <wp:positionH relativeFrom="page">
                  <wp:posOffset>7106432</wp:posOffset>
                </wp:positionH>
                <wp:positionV relativeFrom="page">
                  <wp:posOffset>1943554</wp:posOffset>
                </wp:positionV>
                <wp:extent cx="139700" cy="76993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69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5325A" w14:textId="77777777" w:rsidR="00D81746" w:rsidRDefault="00000000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sheet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is a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recommendation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assist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decision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making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process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6"/>
                                <w:sz w:val="1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care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mandatory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substitute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clinical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judgment</w:t>
                            </w:r>
                            <w:proofErr w:type="spellEnd"/>
                            <w:r>
                              <w:rPr>
                                <w:color w:val="7E7E7E"/>
                                <w:sz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7E7E7E"/>
                                <w:spacing w:val="-2"/>
                                <w:sz w:val="16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color w:val="7E7E7E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pacing w:val="-2"/>
                                <w:sz w:val="16"/>
                              </w:rPr>
                              <w:t>care</w:t>
                            </w:r>
                            <w:proofErr w:type="spellEnd"/>
                            <w:r>
                              <w:rPr>
                                <w:color w:val="7E7E7E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E7E7E"/>
                                <w:sz w:val="16"/>
                              </w:rPr>
                              <w:t>personnel</w:t>
                            </w:r>
                            <w:proofErr w:type="spellEnd"/>
                            <w:r>
                              <w:rPr>
                                <w:color w:val="7E7E7E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3AE1" id="Textbox 9" o:spid="_x0000_s1029" type="#_x0000_t202" style="position:absolute;left:0;text-align:left;margin-left:559.55pt;margin-top:153.05pt;width:11pt;height:606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615325A" w14:textId="77777777" w:rsidR="00D81746" w:rsidRDefault="00000000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7E7E7E"/>
                          <w:sz w:val="16"/>
                        </w:rPr>
                        <w:t>This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sheet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is a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recommendation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to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assist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the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decision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making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process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6"/>
                          <w:sz w:val="16"/>
                        </w:rPr>
                        <w:t xml:space="preserve">in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health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care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It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not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mandatory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and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not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substitute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for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the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clinical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judgment</w:t>
                      </w:r>
                      <w:proofErr w:type="spellEnd"/>
                      <w:r>
                        <w:rPr>
                          <w:color w:val="7E7E7E"/>
                          <w:sz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7E7E7E"/>
                          <w:spacing w:val="-2"/>
                          <w:sz w:val="16"/>
                        </w:rPr>
                        <w:t>health</w:t>
                      </w:r>
                      <w:proofErr w:type="spellEnd"/>
                      <w:r>
                        <w:rPr>
                          <w:color w:val="7E7E7E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pacing w:val="-2"/>
                          <w:sz w:val="16"/>
                        </w:rPr>
                        <w:t>care</w:t>
                      </w:r>
                      <w:proofErr w:type="spellEnd"/>
                      <w:r>
                        <w:rPr>
                          <w:color w:val="7E7E7E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E7E7E"/>
                          <w:sz w:val="16"/>
                        </w:rPr>
                        <w:t>personnel</w:t>
                      </w:r>
                      <w:proofErr w:type="spellEnd"/>
                      <w:r>
                        <w:rPr>
                          <w:color w:val="7E7E7E"/>
                          <w:spacing w:val="-2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PSA_en_el_cribratge_de_càncer_de_pròstat"/>
      <w:bookmarkEnd w:id="0"/>
      <w:r>
        <w:rPr>
          <w:color w:val="448192"/>
          <w:w w:val="120"/>
        </w:rPr>
        <w:t xml:space="preserve">PSA in </w:t>
      </w:r>
      <w:proofErr w:type="spellStart"/>
      <w:r>
        <w:rPr>
          <w:color w:val="448192"/>
          <w:w w:val="120"/>
        </w:rPr>
        <w:t>the</w:t>
      </w:r>
      <w:proofErr w:type="spellEnd"/>
      <w:r>
        <w:rPr>
          <w:color w:val="448192"/>
          <w:w w:val="120"/>
        </w:rPr>
        <w:t xml:space="preserve"> </w:t>
      </w:r>
      <w:proofErr w:type="spellStart"/>
      <w:r>
        <w:rPr>
          <w:color w:val="448192"/>
          <w:w w:val="120"/>
        </w:rPr>
        <w:t>screening</w:t>
      </w:r>
      <w:proofErr w:type="spellEnd"/>
      <w:r>
        <w:rPr>
          <w:color w:val="448192"/>
          <w:w w:val="120"/>
        </w:rPr>
        <w:t xml:space="preserve"> for </w:t>
      </w:r>
      <w:proofErr w:type="spellStart"/>
      <w:r>
        <w:rPr>
          <w:color w:val="448192"/>
          <w:spacing w:val="-2"/>
          <w:w w:val="120"/>
        </w:rPr>
        <w:t>prostate</w:t>
      </w:r>
      <w:proofErr w:type="spellEnd"/>
      <w:r>
        <w:rPr>
          <w:color w:val="448192"/>
          <w:spacing w:val="-2"/>
          <w:w w:val="120"/>
        </w:rPr>
        <w:t xml:space="preserve"> </w:t>
      </w:r>
      <w:proofErr w:type="spellStart"/>
      <w:r>
        <w:rPr>
          <w:color w:val="448192"/>
          <w:w w:val="120"/>
        </w:rPr>
        <w:t>cancer</w:t>
      </w:r>
      <w:proofErr w:type="spellEnd"/>
    </w:p>
    <w:p w14:paraId="621AF57D" w14:textId="77777777" w:rsidR="00D81746" w:rsidRDefault="00000000">
      <w:pPr>
        <w:pStyle w:val="BodyText"/>
        <w:spacing w:before="6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485EE6" wp14:editId="3A6D882E">
                <wp:simplePos x="0" y="0"/>
                <wp:positionH relativeFrom="page">
                  <wp:posOffset>1149400</wp:posOffset>
                </wp:positionH>
                <wp:positionV relativeFrom="paragraph">
                  <wp:posOffset>143199</wp:posOffset>
                </wp:positionV>
                <wp:extent cx="5332095" cy="5048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095" cy="504825"/>
                        </a:xfrm>
                        <a:prstGeom prst="rect">
                          <a:avLst/>
                        </a:prstGeom>
                        <a:solidFill>
                          <a:srgbClr val="DCEAEE"/>
                        </a:solidFill>
                      </wps:spPr>
                      <wps:txbx>
                        <w:txbxContent>
                          <w:p w14:paraId="54FC90D9" w14:textId="77777777" w:rsidR="00D81746" w:rsidRDefault="00000000">
                            <w:pPr>
                              <w:spacing w:before="117" w:line="261" w:lineRule="auto"/>
                              <w:ind w:left="107" w:right="109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2C556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determination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of PSA as a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population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screening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prostate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cancer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performed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does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benefits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terms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mortality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C5560"/>
                              </w:rPr>
                              <w:t>reduction</w:t>
                            </w:r>
                            <w:proofErr w:type="spellEnd"/>
                            <w:r>
                              <w:rPr>
                                <w:color w:val="2C556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85EE6" id="Textbox 10" o:spid="_x0000_s1030" type="#_x0000_t202" style="position:absolute;margin-left:90.5pt;margin-top:11.3pt;width:419.85pt;height:39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" fillcolor="#dceaee" stroked="f">
                <v:textbox inset="0,0,0,0">
                  <w:txbxContent>
                    <w:p w14:paraId="54FC90D9" w14:textId="77777777" w:rsidR="00D81746" w:rsidRDefault="00000000">
                      <w:pPr>
                        <w:spacing w:before="117" w:line="261" w:lineRule="auto"/>
                        <w:ind w:left="107" w:right="109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2C5560"/>
                        </w:rPr>
                        <w:t>The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determination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of PSA as a </w:t>
                      </w:r>
                      <w:proofErr w:type="spellStart"/>
                      <w:r>
                        <w:rPr>
                          <w:color w:val="2C5560"/>
                        </w:rPr>
                        <w:t>population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screening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for </w:t>
                      </w:r>
                      <w:proofErr w:type="spellStart"/>
                      <w:r>
                        <w:rPr>
                          <w:color w:val="2C5560"/>
                        </w:rPr>
                        <w:t>prostate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cancer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should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not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be </w:t>
                      </w:r>
                      <w:proofErr w:type="spellStart"/>
                      <w:r>
                        <w:rPr>
                          <w:color w:val="2C5560"/>
                        </w:rPr>
                        <w:t>performed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as </w:t>
                      </w:r>
                      <w:proofErr w:type="spellStart"/>
                      <w:r>
                        <w:rPr>
                          <w:color w:val="2C5560"/>
                        </w:rPr>
                        <w:t>it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does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not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provide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benefits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C5560"/>
                        </w:rPr>
                        <w:t>terms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2C5560"/>
                        </w:rPr>
                        <w:t>mortality</w:t>
                      </w:r>
                      <w:proofErr w:type="spellEnd"/>
                      <w:r>
                        <w:rPr>
                          <w:color w:val="2C556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C5560"/>
                        </w:rPr>
                        <w:t>reduction</w:t>
                      </w:r>
                      <w:proofErr w:type="spellEnd"/>
                      <w:r>
                        <w:rPr>
                          <w:color w:val="2C556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0E1279" wp14:editId="11E7638F">
                <wp:simplePos x="0" y="0"/>
                <wp:positionH relativeFrom="page">
                  <wp:posOffset>1003096</wp:posOffset>
                </wp:positionH>
                <wp:positionV relativeFrom="paragraph">
                  <wp:posOffset>978351</wp:posOffset>
                </wp:positionV>
                <wp:extent cx="5556250" cy="23812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0" cy="2381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4481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AE1193" w14:textId="77777777" w:rsidR="00D81746" w:rsidRDefault="00000000">
                            <w:pPr>
                              <w:spacing w:before="22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>recommendation</w:t>
                            </w:r>
                            <w:proofErr w:type="spellEnd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>being</w:t>
                            </w:r>
                            <w:proofErr w:type="spellEnd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>reviewed</w:t>
                            </w:r>
                            <w:proofErr w:type="spellEnd"/>
                            <w:r>
                              <w:rPr>
                                <w:b/>
                                <w:color w:val="448192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color w:val="448192"/>
                                <w:spacing w:val="-2"/>
                                <w:sz w:val="24"/>
                              </w:rPr>
                              <w:t>2023.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E1279" id="Textbox 11" o:spid="_x0000_s1031" type="#_x0000_t202" style="position:absolute;margin-left:79pt;margin-top:77.05pt;width:437.5pt;height:18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" filled="f" strokecolor="#448192" strokeweight="1.44pt">
                <v:path arrowok="t"/>
                <v:textbox inset="0,0,0,0">
                  <w:txbxContent>
                    <w:p w14:paraId="59AE1193" w14:textId="77777777" w:rsidR="00D81746" w:rsidRDefault="00000000">
                      <w:pPr>
                        <w:spacing w:before="22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448192"/>
                          <w:sz w:val="24"/>
                        </w:rPr>
                        <w:t>This</w:t>
                      </w:r>
                      <w:proofErr w:type="spellEnd"/>
                      <w:r>
                        <w:rPr>
                          <w:b/>
                          <w:color w:val="448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48192"/>
                          <w:sz w:val="24"/>
                        </w:rPr>
                        <w:t>recommendation</w:t>
                      </w:r>
                      <w:proofErr w:type="spellEnd"/>
                      <w:r>
                        <w:rPr>
                          <w:b/>
                          <w:color w:val="448192"/>
                          <w:sz w:val="24"/>
                        </w:rPr>
                        <w:t xml:space="preserve"> is </w:t>
                      </w:r>
                      <w:proofErr w:type="spellStart"/>
                      <w:r>
                        <w:rPr>
                          <w:b/>
                          <w:color w:val="448192"/>
                          <w:sz w:val="24"/>
                        </w:rPr>
                        <w:t>being</w:t>
                      </w:r>
                      <w:proofErr w:type="spellEnd"/>
                      <w:r>
                        <w:rPr>
                          <w:b/>
                          <w:color w:val="448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48192"/>
                          <w:sz w:val="24"/>
                        </w:rPr>
                        <w:t>reviewed</w:t>
                      </w:r>
                      <w:proofErr w:type="spellEnd"/>
                      <w:r>
                        <w:rPr>
                          <w:b/>
                          <w:color w:val="448192"/>
                          <w:sz w:val="24"/>
                        </w:rPr>
                        <w:t xml:space="preserve"> in </w:t>
                      </w:r>
                      <w:r>
                        <w:rPr>
                          <w:b/>
                          <w:color w:val="448192"/>
                          <w:spacing w:val="-2"/>
                          <w:sz w:val="24"/>
                        </w:rPr>
                        <w:t>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8AD67" w14:textId="77777777" w:rsidR="00D81746" w:rsidRDefault="00D81746">
      <w:pPr>
        <w:pStyle w:val="BodyText"/>
        <w:spacing w:before="237"/>
        <w:rPr>
          <w:rFonts w:ascii="Calibri"/>
        </w:rPr>
      </w:pPr>
    </w:p>
    <w:p w14:paraId="62311EF5" w14:textId="77777777" w:rsidR="00D81746" w:rsidRDefault="00D81746">
      <w:pPr>
        <w:pStyle w:val="BodyText"/>
        <w:rPr>
          <w:rFonts w:ascii="Calibri"/>
          <w:sz w:val="24"/>
        </w:rPr>
      </w:pPr>
    </w:p>
    <w:p w14:paraId="117D9558" w14:textId="77777777" w:rsidR="00D81746" w:rsidRDefault="00D81746">
      <w:pPr>
        <w:pStyle w:val="BodyText"/>
        <w:spacing w:before="52"/>
        <w:rPr>
          <w:rFonts w:ascii="Calibri"/>
          <w:sz w:val="24"/>
        </w:rPr>
      </w:pPr>
    </w:p>
    <w:p w14:paraId="19D6F982" w14:textId="77777777" w:rsidR="00D81746" w:rsidRDefault="00000000">
      <w:pPr>
        <w:pStyle w:val="Heading1"/>
        <w:spacing w:before="1"/>
      </w:pPr>
      <w:bookmarkStart w:id="1" w:name="Resum_"/>
      <w:bookmarkEnd w:id="1"/>
      <w:r>
        <w:rPr>
          <w:color w:val="2C5560"/>
          <w:spacing w:val="-2"/>
        </w:rPr>
        <w:t>Resum</w:t>
      </w:r>
    </w:p>
    <w:p w14:paraId="672EADF7" w14:textId="77777777" w:rsidR="00D81746" w:rsidRDefault="00000000">
      <w:pPr>
        <w:pStyle w:val="ListParagraph"/>
        <w:numPr>
          <w:ilvl w:val="0"/>
          <w:numId w:val="2"/>
        </w:numPr>
        <w:tabs>
          <w:tab w:val="left" w:pos="2057"/>
          <w:tab w:val="left" w:pos="2059"/>
        </w:tabs>
        <w:spacing w:before="251" w:line="256" w:lineRule="auto"/>
        <w:rPr>
          <w:sz w:val="20"/>
        </w:rPr>
      </w:pPr>
      <w:r>
        <w:rPr>
          <w:sz w:val="20"/>
        </w:rPr>
        <w:t xml:space="preserve">PSA </w:t>
      </w:r>
      <w:proofErr w:type="spellStart"/>
      <w:r>
        <w:rPr>
          <w:sz w:val="20"/>
        </w:rPr>
        <w:t>determination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appropriate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population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family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history</w:t>
      </w:r>
      <w:proofErr w:type="spellEnd"/>
      <w:r>
        <w:rPr>
          <w:sz w:val="20"/>
        </w:rPr>
        <w:t xml:space="preserve">),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presence</w:t>
      </w:r>
      <w:proofErr w:type="spellEnd"/>
      <w:r>
        <w:rPr>
          <w:sz w:val="20"/>
        </w:rPr>
        <w:t xml:space="preserve"> of a </w:t>
      </w:r>
      <w:proofErr w:type="spellStart"/>
      <w:r>
        <w:rPr>
          <w:sz w:val="20"/>
        </w:rPr>
        <w:t>suspicious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examination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follow</w:t>
      </w:r>
      <w:proofErr w:type="spellEnd"/>
      <w:r>
        <w:rPr>
          <w:sz w:val="20"/>
        </w:rPr>
        <w:t xml:space="preserve">-up of </w:t>
      </w:r>
      <w:proofErr w:type="spellStart"/>
      <w:r>
        <w:rPr>
          <w:spacing w:val="-2"/>
          <w:sz w:val="20"/>
        </w:rPr>
        <w:t>prostate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cancer</w:t>
      </w:r>
      <w:proofErr w:type="spellEnd"/>
      <w:r>
        <w:rPr>
          <w:sz w:val="20"/>
        </w:rPr>
        <w:t>.</w:t>
      </w:r>
    </w:p>
    <w:p w14:paraId="04D4D059" w14:textId="77777777" w:rsidR="00D81746" w:rsidRDefault="00000000">
      <w:pPr>
        <w:pStyle w:val="ListParagraph"/>
        <w:numPr>
          <w:ilvl w:val="0"/>
          <w:numId w:val="2"/>
        </w:numPr>
        <w:tabs>
          <w:tab w:val="left" w:pos="2057"/>
          <w:tab w:val="left" w:pos="2059"/>
        </w:tabs>
        <w:spacing w:line="256" w:lineRule="auto"/>
        <w:rPr>
          <w:sz w:val="20"/>
        </w:rPr>
      </w:pPr>
      <w:r>
        <w:rPr>
          <w:sz w:val="20"/>
        </w:rPr>
        <w:t xml:space="preserve">In </w:t>
      </w:r>
      <w:proofErr w:type="spellStart"/>
      <w:r>
        <w:rPr>
          <w:sz w:val="20"/>
        </w:rPr>
        <w:t>Catalonia</w:t>
      </w:r>
      <w:proofErr w:type="spellEnd"/>
      <w:r>
        <w:rPr>
          <w:sz w:val="20"/>
        </w:rPr>
        <w:t xml:space="preserve">, 1 in 6 </w:t>
      </w:r>
      <w:proofErr w:type="spellStart"/>
      <w:r>
        <w:rPr>
          <w:sz w:val="20"/>
        </w:rPr>
        <w:t>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could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cancer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lifetime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However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mortality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rate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type</w:t>
      </w:r>
      <w:proofErr w:type="spellEnd"/>
      <w:r>
        <w:rPr>
          <w:sz w:val="20"/>
        </w:rPr>
        <w:t xml:space="preserve"> of tumor is </w:t>
      </w:r>
      <w:proofErr w:type="spellStart"/>
      <w:r>
        <w:rPr>
          <w:sz w:val="20"/>
        </w:rPr>
        <w:t>slightly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than</w:t>
      </w:r>
      <w:proofErr w:type="spellEnd"/>
      <w:r>
        <w:rPr>
          <w:sz w:val="20"/>
        </w:rPr>
        <w:t xml:space="preserve"> 3% of </w:t>
      </w:r>
      <w:proofErr w:type="spellStart"/>
      <w:r>
        <w:rPr>
          <w:sz w:val="20"/>
        </w:rPr>
        <w:t>those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affected</w:t>
      </w:r>
      <w:proofErr w:type="spellEnd"/>
      <w:r>
        <w:rPr>
          <w:sz w:val="20"/>
        </w:rPr>
        <w:t>.</w:t>
      </w:r>
    </w:p>
    <w:p w14:paraId="7349A438" w14:textId="77777777" w:rsidR="00D81746" w:rsidRDefault="00000000">
      <w:pPr>
        <w:pStyle w:val="ListParagraph"/>
        <w:numPr>
          <w:ilvl w:val="0"/>
          <w:numId w:val="2"/>
        </w:numPr>
        <w:tabs>
          <w:tab w:val="left" w:pos="2057"/>
          <w:tab w:val="left" w:pos="2059"/>
        </w:tabs>
        <w:spacing w:before="140" w:line="256" w:lineRule="auto"/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elevated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level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PSA </w:t>
      </w:r>
      <w:proofErr w:type="spellStart"/>
      <w:r>
        <w:rPr>
          <w:sz w:val="20"/>
        </w:rPr>
        <w:t>protein</w:t>
      </w:r>
      <w:proofErr w:type="spellEnd"/>
      <w:r>
        <w:rPr>
          <w:sz w:val="20"/>
        </w:rPr>
        <w:t xml:space="preserve"> can be a </w:t>
      </w:r>
      <w:proofErr w:type="spellStart"/>
      <w:r>
        <w:rPr>
          <w:sz w:val="20"/>
        </w:rPr>
        <w:t>warning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indicator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having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prostate</w:t>
      </w:r>
      <w:proofErr w:type="spellEnd"/>
      <w:r>
        <w:rPr>
          <w:sz w:val="20"/>
        </w:rPr>
        <w:t xml:space="preserve"> tumor. </w:t>
      </w:r>
      <w:proofErr w:type="spellStart"/>
      <w:r>
        <w:rPr>
          <w:sz w:val="20"/>
        </w:rPr>
        <w:t>Estimation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PSA </w:t>
      </w:r>
      <w:proofErr w:type="spellStart"/>
      <w:r>
        <w:rPr>
          <w:sz w:val="20"/>
        </w:rPr>
        <w:t>concentration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level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obtained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diagnostic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laboratory</w:t>
      </w:r>
      <w:proofErr w:type="spellEnd"/>
      <w:r>
        <w:rPr>
          <w:sz w:val="20"/>
        </w:rPr>
        <w:t xml:space="preserve"> test.</w:t>
      </w:r>
    </w:p>
    <w:p w14:paraId="6B2DF9E4" w14:textId="77777777" w:rsidR="00D81746" w:rsidRDefault="00000000">
      <w:pPr>
        <w:pStyle w:val="ListParagraph"/>
        <w:numPr>
          <w:ilvl w:val="0"/>
          <w:numId w:val="2"/>
        </w:numPr>
        <w:tabs>
          <w:tab w:val="left" w:pos="2057"/>
          <w:tab w:val="left" w:pos="2059"/>
        </w:tabs>
        <w:spacing w:line="261" w:lineRule="auto"/>
        <w:rPr>
          <w:sz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number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complications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adverse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life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, in </w:t>
      </w:r>
      <w:proofErr w:type="spellStart"/>
      <w:r>
        <w:rPr>
          <w:sz w:val="20"/>
        </w:rPr>
        <w:t>relation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benefits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test can </w:t>
      </w:r>
      <w:proofErr w:type="spellStart"/>
      <w:r>
        <w:rPr>
          <w:sz w:val="20"/>
        </w:rPr>
        <w:t>cause</w:t>
      </w:r>
      <w:proofErr w:type="spellEnd"/>
      <w:r>
        <w:rPr>
          <w:sz w:val="20"/>
        </w:rPr>
        <w:t xml:space="preserve">, has </w:t>
      </w:r>
      <w:proofErr w:type="spellStart"/>
      <w:r>
        <w:rPr>
          <w:sz w:val="20"/>
        </w:rPr>
        <w:t>led</w:t>
      </w:r>
      <w:proofErr w:type="spellEnd"/>
      <w:r>
        <w:rPr>
          <w:sz w:val="20"/>
        </w:rPr>
        <w:t xml:space="preserve"> most </w:t>
      </w:r>
      <w:proofErr w:type="spellStart"/>
      <w:r>
        <w:rPr>
          <w:sz w:val="20"/>
        </w:rPr>
        <w:t>scientific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professional </w:t>
      </w:r>
      <w:proofErr w:type="spellStart"/>
      <w:r>
        <w:rPr>
          <w:sz w:val="20"/>
        </w:rPr>
        <w:t>societies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endorse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population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level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except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specific</w:t>
      </w:r>
      <w:proofErr w:type="spellEnd"/>
      <w:r>
        <w:rPr>
          <w:sz w:val="20"/>
        </w:rPr>
        <w:t xml:space="preserve"> cases of </w:t>
      </w:r>
      <w:proofErr w:type="spellStart"/>
      <w:r>
        <w:rPr>
          <w:sz w:val="20"/>
        </w:rPr>
        <w:t>people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z w:val="20"/>
        </w:rPr>
        <w:t xml:space="preserve"> present a </w:t>
      </w:r>
      <w:proofErr w:type="spellStart"/>
      <w:r>
        <w:rPr>
          <w:sz w:val="20"/>
        </w:rPr>
        <w:t>higher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family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history</w:t>
      </w:r>
      <w:proofErr w:type="spellEnd"/>
      <w:r>
        <w:rPr>
          <w:sz w:val="20"/>
        </w:rPr>
        <w:t xml:space="preserve">,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presence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symptoms</w:t>
      </w:r>
      <w:proofErr w:type="spellEnd"/>
      <w:r>
        <w:rPr>
          <w:sz w:val="20"/>
        </w:rPr>
        <w:t xml:space="preserve"> or </w:t>
      </w:r>
      <w:proofErr w:type="spellStart"/>
      <w:r>
        <w:rPr>
          <w:sz w:val="20"/>
        </w:rPr>
        <w:t>signs</w:t>
      </w:r>
      <w:proofErr w:type="spellEnd"/>
      <w:r>
        <w:rPr>
          <w:sz w:val="20"/>
        </w:rPr>
        <w:t xml:space="preserve">, or as a </w:t>
      </w:r>
      <w:proofErr w:type="spellStart"/>
      <w:r>
        <w:rPr>
          <w:sz w:val="20"/>
        </w:rPr>
        <w:t>follow</w:t>
      </w:r>
      <w:proofErr w:type="spellEnd"/>
      <w:r>
        <w:rPr>
          <w:sz w:val="20"/>
        </w:rPr>
        <w:t xml:space="preserve">-up of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already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tumor).</w:t>
      </w:r>
    </w:p>
    <w:p w14:paraId="5DD8A247" w14:textId="77777777" w:rsidR="00D81746" w:rsidRDefault="00000000">
      <w:pPr>
        <w:pStyle w:val="ListParagraph"/>
        <w:numPr>
          <w:ilvl w:val="0"/>
          <w:numId w:val="2"/>
        </w:numPr>
        <w:tabs>
          <w:tab w:val="left" w:pos="2057"/>
          <w:tab w:val="left" w:pos="2059"/>
        </w:tabs>
        <w:spacing w:before="129" w:line="256" w:lineRule="auto"/>
        <w:ind w:right="365"/>
        <w:rPr>
          <w:sz w:val="20"/>
        </w:rPr>
      </w:pPr>
      <w:r>
        <w:rPr>
          <w:sz w:val="20"/>
        </w:rPr>
        <w:t xml:space="preserve">For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reasons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recommended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PSA </w:t>
      </w:r>
      <w:proofErr w:type="spellStart"/>
      <w:r>
        <w:rPr>
          <w:sz w:val="20"/>
        </w:rPr>
        <w:t>blood</w:t>
      </w:r>
      <w:proofErr w:type="spellEnd"/>
      <w:r>
        <w:rPr>
          <w:sz w:val="20"/>
        </w:rPr>
        <w:t xml:space="preserve"> test as a </w:t>
      </w:r>
      <w:proofErr w:type="spellStart"/>
      <w:r>
        <w:rPr>
          <w:sz w:val="20"/>
        </w:rPr>
        <w:t>population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screening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method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early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detection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prostate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cancer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benefits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terms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mortality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reduction</w:t>
      </w:r>
      <w:proofErr w:type="spellEnd"/>
      <w:r>
        <w:rPr>
          <w:sz w:val="20"/>
        </w:rPr>
        <w:t>.</w:t>
      </w:r>
    </w:p>
    <w:p w14:paraId="5AD660C6" w14:textId="77777777" w:rsidR="00D81746" w:rsidRDefault="00000000">
      <w:pPr>
        <w:pStyle w:val="ListParagraph"/>
        <w:numPr>
          <w:ilvl w:val="0"/>
          <w:numId w:val="2"/>
        </w:numPr>
        <w:tabs>
          <w:tab w:val="left" w:pos="2057"/>
          <w:tab w:val="left" w:pos="2059"/>
        </w:tabs>
        <w:spacing w:line="256" w:lineRule="auto"/>
        <w:ind w:right="358"/>
        <w:rPr>
          <w:sz w:val="20"/>
        </w:rPr>
      </w:pPr>
      <w:r>
        <w:rPr>
          <w:sz w:val="20"/>
        </w:rPr>
        <w:t xml:space="preserve">In any </w:t>
      </w:r>
      <w:proofErr w:type="spellStart"/>
      <w:r>
        <w:rPr>
          <w:sz w:val="20"/>
        </w:rPr>
        <w:t>case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because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possible </w:t>
      </w:r>
      <w:proofErr w:type="spellStart"/>
      <w:r>
        <w:rPr>
          <w:sz w:val="20"/>
        </w:rPr>
        <w:t>benefits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harms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associated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test,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should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always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performed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</w:t>
      </w:r>
      <w:proofErr w:type="spellEnd"/>
      <w:r>
        <w:rPr>
          <w:sz w:val="20"/>
        </w:rPr>
        <w:t xml:space="preserve"> has </w:t>
      </w:r>
      <w:proofErr w:type="spellStart"/>
      <w:r>
        <w:rPr>
          <w:sz w:val="20"/>
        </w:rPr>
        <w:t>been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informed</w:t>
      </w:r>
      <w:proofErr w:type="spellEnd"/>
      <w:r>
        <w:rPr>
          <w:sz w:val="20"/>
        </w:rPr>
        <w:t xml:space="preserve"> in a </w:t>
      </w:r>
      <w:proofErr w:type="spellStart"/>
      <w:r>
        <w:rPr>
          <w:sz w:val="20"/>
        </w:rPr>
        <w:t>thorough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detailed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manner</w:t>
      </w:r>
      <w:proofErr w:type="spellEnd"/>
      <w:r>
        <w:rPr>
          <w:sz w:val="20"/>
        </w:rPr>
        <w:t>.</w:t>
      </w:r>
    </w:p>
    <w:p w14:paraId="6D4B63BE" w14:textId="77777777" w:rsidR="00D81746" w:rsidRDefault="00D81746">
      <w:pPr>
        <w:pStyle w:val="BodyText"/>
      </w:pPr>
    </w:p>
    <w:p w14:paraId="003E6BBC" w14:textId="77777777" w:rsidR="00D81746" w:rsidRDefault="00D81746">
      <w:pPr>
        <w:pStyle w:val="BodyText"/>
        <w:spacing w:before="41"/>
      </w:pPr>
    </w:p>
    <w:p w14:paraId="75B7BA93" w14:textId="77777777" w:rsidR="00D81746" w:rsidRDefault="00000000">
      <w:pPr>
        <w:pStyle w:val="Heading1"/>
      </w:pPr>
      <w:bookmarkStart w:id="2" w:name="Més_informació_"/>
      <w:bookmarkEnd w:id="2"/>
      <w:proofErr w:type="spellStart"/>
      <w:r>
        <w:rPr>
          <w:color w:val="2C5560"/>
        </w:rPr>
        <w:t>More</w:t>
      </w:r>
      <w:proofErr w:type="spellEnd"/>
      <w:r>
        <w:rPr>
          <w:color w:val="2C5560"/>
        </w:rPr>
        <w:t xml:space="preserve"> </w:t>
      </w:r>
      <w:proofErr w:type="spellStart"/>
      <w:r>
        <w:rPr>
          <w:color w:val="2C5560"/>
          <w:spacing w:val="-2"/>
        </w:rPr>
        <w:t>information</w:t>
      </w:r>
      <w:proofErr w:type="spellEnd"/>
    </w:p>
    <w:p w14:paraId="247D8AD9" w14:textId="77777777" w:rsidR="00D81746" w:rsidRDefault="00000000">
      <w:pPr>
        <w:pStyle w:val="BodyText"/>
        <w:spacing w:before="241" w:line="276" w:lineRule="auto"/>
        <w:ind w:left="1702" w:right="35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tests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lies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(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cancer</w:t>
      </w:r>
      <w:proofErr w:type="spellEnd"/>
      <w:r>
        <w:t xml:space="preserve">) </w:t>
      </w:r>
      <w:proofErr w:type="spellStart"/>
      <w:r>
        <w:t>means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prognosis in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Screening</w:t>
      </w:r>
      <w:proofErr w:type="spellEnd"/>
      <w:r>
        <w:t xml:space="preserve"> can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formal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(</w:t>
      </w:r>
      <w:proofErr w:type="spellStart"/>
      <w:r>
        <w:t>eligible</w:t>
      </w:r>
      <w:proofErr w:type="spellEnd"/>
      <w:r>
        <w:t xml:space="preserve"> individuals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for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test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malignancy</w:t>
      </w:r>
      <w:proofErr w:type="spellEnd"/>
      <w:r>
        <w:t xml:space="preserve"> is </w:t>
      </w:r>
      <w:proofErr w:type="spellStart"/>
      <w:r>
        <w:t>detected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processes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) or </w:t>
      </w:r>
      <w:proofErr w:type="spellStart"/>
      <w:r>
        <w:t>it</w:t>
      </w:r>
      <w:proofErr w:type="spellEnd"/>
      <w:r>
        <w:t xml:space="preserve"> can be </w:t>
      </w:r>
      <w:proofErr w:type="spellStart"/>
      <w:r>
        <w:t>opportunistic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goes to </w:t>
      </w:r>
      <w:proofErr w:type="spellStart"/>
      <w:r>
        <w:t>the</w:t>
      </w:r>
      <w:proofErr w:type="spellEnd"/>
      <w:r>
        <w:t xml:space="preserve"> doctor for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>.</w:t>
      </w:r>
    </w:p>
    <w:p w14:paraId="7F4468D7" w14:textId="77777777" w:rsidR="00D81746" w:rsidRDefault="00D81746">
      <w:pPr>
        <w:pStyle w:val="BodyText"/>
        <w:spacing w:before="12"/>
      </w:pPr>
    </w:p>
    <w:p w14:paraId="7E770147" w14:textId="77777777" w:rsidR="00D81746" w:rsidRDefault="00000000">
      <w:pPr>
        <w:pStyle w:val="BodyText"/>
        <w:spacing w:line="276" w:lineRule="auto"/>
        <w:ind w:left="1702" w:right="361"/>
        <w:jc w:val="both"/>
      </w:pPr>
      <w:r>
        <w:t xml:space="preserve">In </w:t>
      </w:r>
      <w:proofErr w:type="spellStart"/>
      <w:r>
        <w:t>Catalonia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2003-2007,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accounted</w:t>
      </w:r>
      <w:proofErr w:type="spellEnd"/>
      <w:r>
        <w:t xml:space="preserve"> for 4,258 incident cases (</w:t>
      </w:r>
      <w:proofErr w:type="spellStart"/>
      <w:r>
        <w:t>new</w:t>
      </w:r>
      <w:proofErr w:type="spellEnd"/>
      <w:r>
        <w:t xml:space="preserve"> cases) </w:t>
      </w:r>
      <w:proofErr w:type="spellStart"/>
      <w:r>
        <w:t>annually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in </w:t>
      </w:r>
      <w:proofErr w:type="spellStart"/>
      <w:r>
        <w:t>men</w:t>
      </w:r>
      <w:proofErr w:type="spellEnd"/>
      <w:r>
        <w:t xml:space="preserve"> (21.3%). </w:t>
      </w:r>
      <w:proofErr w:type="spellStart"/>
      <w:r>
        <w:t>The</w:t>
      </w:r>
      <w:proofErr w:type="spellEnd"/>
      <w:r>
        <w:t xml:space="preserve"> causes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poorly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most important </w:t>
      </w:r>
      <w:proofErr w:type="spellStart"/>
      <w:r>
        <w:t>risk</w:t>
      </w:r>
      <w:proofErr w:type="spellEnd"/>
      <w:r>
        <w:t xml:space="preserve"> factor is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cases (5-10%)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possible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1 in 6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cancer</w:t>
      </w:r>
      <w:proofErr w:type="spellEnd"/>
      <w:r>
        <w:t xml:space="preserve"> of </w:t>
      </w:r>
      <w:proofErr w:type="spellStart"/>
      <w:r>
        <w:t>the</w:t>
      </w:r>
      <w:proofErr w:type="spellEnd"/>
    </w:p>
    <w:p w14:paraId="367906B1" w14:textId="77777777" w:rsidR="00D81746" w:rsidRDefault="00D81746">
      <w:pPr>
        <w:spacing w:line="276" w:lineRule="auto"/>
        <w:jc w:val="both"/>
        <w:sectPr w:rsidR="00D81746">
          <w:headerReference w:type="default" r:id="rId7"/>
          <w:footerReference w:type="default" r:id="rId8"/>
          <w:type w:val="continuous"/>
          <w:pgSz w:w="11910" w:h="16840"/>
          <w:pgMar w:top="1600" w:right="1340" w:bottom="1200" w:left="0" w:header="0" w:footer="1004" w:gutter="0"/>
          <w:pgNumType w:start="1"/>
          <w:cols w:space="720"/>
        </w:sectPr>
      </w:pPr>
    </w:p>
    <w:p w14:paraId="5C027E8E" w14:textId="77777777" w:rsidR="00D81746" w:rsidRDefault="00000000">
      <w:pPr>
        <w:pStyle w:val="BodyText"/>
        <w:spacing w:before="91" w:line="276" w:lineRule="auto"/>
        <w:ind w:left="1702" w:right="355"/>
        <w:jc w:val="both"/>
      </w:pPr>
      <w:proofErr w:type="spellStart"/>
      <w:r>
        <w:lastRenderedPageBreak/>
        <w:t>lifetime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. In contrast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is 803 cases,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rPr>
          <w:spacing w:val="-1"/>
        </w:rPr>
        <w:t>represents</w:t>
      </w:r>
      <w:proofErr w:type="spellEnd"/>
      <w:r>
        <w:rPr>
          <w:spacing w:val="-1"/>
        </w:rPr>
        <w:t xml:space="preserve"> </w:t>
      </w:r>
      <w:r>
        <w:t xml:space="preserve">8.2% of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. </w:t>
      </w:r>
      <w:proofErr w:type="spellStart"/>
      <w:r>
        <w:rPr>
          <w:spacing w:val="-1"/>
        </w:rPr>
        <w:t>This</w:t>
      </w:r>
      <w:proofErr w:type="spellEnd"/>
      <w:r>
        <w:rPr>
          <w:spacing w:val="-1"/>
        </w:rPr>
        <w:t xml:space="preserve"> </w:t>
      </w:r>
      <w:proofErr w:type="spellStart"/>
      <w:r>
        <w:t>translates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most cases of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prognosis,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lifetime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3%,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most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die "</w:t>
      </w:r>
      <w:proofErr w:type="spellStart"/>
      <w:r>
        <w:t>with</w:t>
      </w:r>
      <w:proofErr w:type="spellEnd"/>
      <w:r>
        <w:t xml:space="preserve">"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(</w:t>
      </w:r>
      <w:proofErr w:type="spellStart"/>
      <w:r>
        <w:t>but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causes)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not</w:t>
      </w:r>
      <w:proofErr w:type="spellEnd"/>
      <w:r>
        <w:t xml:space="preserve"> of"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>.</w:t>
      </w:r>
    </w:p>
    <w:p w14:paraId="66BDE7A6" w14:textId="77777777" w:rsidR="00D81746" w:rsidRDefault="00D81746">
      <w:pPr>
        <w:pStyle w:val="BodyText"/>
        <w:spacing w:before="10"/>
      </w:pPr>
    </w:p>
    <w:p w14:paraId="1E6CB1E2" w14:textId="77777777" w:rsidR="00D81746" w:rsidRDefault="00000000">
      <w:pPr>
        <w:pStyle w:val="BodyText"/>
        <w:spacing w:line="276" w:lineRule="auto"/>
        <w:ind w:left="1702" w:right="358"/>
        <w:jc w:val="both"/>
      </w:pPr>
      <w:proofErr w:type="spellStart"/>
      <w:r>
        <w:t>Screening</w:t>
      </w:r>
      <w:proofErr w:type="spellEnd"/>
      <w:r>
        <w:t xml:space="preserve"> for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antigen (PSA) in </w:t>
      </w:r>
      <w:proofErr w:type="spellStart"/>
      <w:r>
        <w:t>blood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inception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in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rPr>
          <w:spacing w:val="-2"/>
        </w:rPr>
        <w:t>and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mortality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from</w:t>
      </w:r>
      <w:proofErr w:type="spellEnd"/>
      <w:r>
        <w:rPr>
          <w:spacing w:val="-2"/>
        </w:rPr>
        <w:t xml:space="preserve"> any </w:t>
      </w:r>
      <w:proofErr w:type="spellStart"/>
      <w:r>
        <w:rPr>
          <w:spacing w:val="-2"/>
        </w:rPr>
        <w:t>cause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most recent </w:t>
      </w:r>
      <w:proofErr w:type="spellStart"/>
      <w:r>
        <w:rPr>
          <w:spacing w:val="-2"/>
        </w:rPr>
        <w:t>review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and</w:t>
      </w:r>
      <w:proofErr w:type="spellEnd"/>
      <w:r>
        <w:rPr>
          <w:spacing w:val="-2"/>
        </w:rPr>
        <w:t xml:space="preserve"> meta-</w:t>
      </w:r>
      <w:proofErr w:type="spellStart"/>
      <w:r>
        <w:rPr>
          <w:spacing w:val="-2"/>
        </w:rPr>
        <w:t>analysis</w:t>
      </w:r>
      <w:proofErr w:type="spellEnd"/>
      <w:r>
        <w:rPr>
          <w:spacing w:val="-2"/>
        </w:rPr>
        <w:t xml:space="preserve"> of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Cochrane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Collaboration</w:t>
      </w:r>
      <w:proofErr w:type="spellEnd"/>
      <w:r>
        <w:rPr>
          <w:spacing w:val="-2"/>
        </w:rPr>
        <w:t xml:space="preserve"> </w:t>
      </w:r>
      <w:r>
        <w:t xml:space="preserve">(2013)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trials,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341,342 </w:t>
      </w:r>
      <w:proofErr w:type="spellStart"/>
      <w:r>
        <w:t>male</w:t>
      </w:r>
      <w:proofErr w:type="spellEnd"/>
      <w:r>
        <w:t xml:space="preserve"> participants (</w:t>
      </w:r>
      <w:proofErr w:type="spellStart"/>
      <w:r>
        <w:t>aged</w:t>
      </w:r>
      <w:proofErr w:type="spellEnd"/>
      <w:r>
        <w:t xml:space="preserve"> 40 to 80 </w:t>
      </w:r>
      <w:proofErr w:type="spellStart"/>
      <w:r>
        <w:t>years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: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(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PSA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>/</w:t>
      </w:r>
      <w:proofErr w:type="spellStart"/>
      <w:r>
        <w:t>without</w:t>
      </w:r>
      <w:proofErr w:type="spellEnd"/>
      <w:r>
        <w:t xml:space="preserve"> rectal </w:t>
      </w:r>
      <w:proofErr w:type="spellStart"/>
      <w:r>
        <w:t>ultrasound</w:t>
      </w:r>
      <w:proofErr w:type="spellEnd"/>
      <w:r>
        <w:t xml:space="preserve">) or </w:t>
      </w:r>
      <w:proofErr w:type="spellStart"/>
      <w:r>
        <w:t>without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meta-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no </w:t>
      </w:r>
      <w:proofErr w:type="spellStart"/>
      <w:r>
        <w:t>statistically</w:t>
      </w:r>
      <w:proofErr w:type="spellEnd"/>
      <w:r>
        <w:t xml:space="preserve"> significant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any </w:t>
      </w:r>
      <w:proofErr w:type="spellStart"/>
      <w:r>
        <w:t>cause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most recent </w:t>
      </w:r>
      <w:proofErr w:type="spellStart"/>
      <w:r>
        <w:t>clinical</w:t>
      </w:r>
      <w:proofErr w:type="spellEnd"/>
      <w:r>
        <w:t xml:space="preserve"> trials (</w:t>
      </w:r>
      <w:proofErr w:type="spellStart"/>
      <w:r>
        <w:t>the</w:t>
      </w:r>
      <w:proofErr w:type="spellEnd"/>
      <w:r>
        <w:t xml:space="preserve"> American PLCO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ERSPC),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meta-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study</w:t>
      </w:r>
      <w:proofErr w:type="spellEnd"/>
      <w:r>
        <w:t xml:space="preserve"> shows a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cancer-specific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: a 21%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55-69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r>
        <w:rPr>
          <w:spacing w:val="-2"/>
        </w:rPr>
        <w:t xml:space="preserve">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over 11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follow</w:t>
      </w:r>
      <w:proofErr w:type="spellEnd"/>
      <w:r>
        <w:t xml:space="preserve">-up, 1,055 </w:t>
      </w:r>
      <w:proofErr w:type="spellStart"/>
      <w:r>
        <w:t>men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37 </w:t>
      </w:r>
      <w:proofErr w:type="spellStart"/>
      <w:r>
        <w:t>cancers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detected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no </w:t>
      </w:r>
      <w:proofErr w:type="spellStart"/>
      <w:r>
        <w:t>benefit</w:t>
      </w:r>
      <w:proofErr w:type="spellEnd"/>
      <w:r>
        <w:t xml:space="preserve"> in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. In </w:t>
      </w:r>
      <w:proofErr w:type="spellStart"/>
      <w:r>
        <w:t>none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any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contamination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control </w:t>
      </w:r>
      <w:proofErr w:type="spellStart"/>
      <w:r>
        <w:t>group</w:t>
      </w:r>
      <w:proofErr w:type="spellEnd"/>
      <w:r>
        <w:t xml:space="preserve"> 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homogeneity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4AF0F821" w14:textId="77777777" w:rsidR="00D81746" w:rsidRDefault="00D81746">
      <w:pPr>
        <w:pStyle w:val="BodyText"/>
        <w:spacing w:before="9"/>
      </w:pPr>
    </w:p>
    <w:p w14:paraId="196BD957" w14:textId="77777777" w:rsidR="00D81746" w:rsidRDefault="00000000">
      <w:pPr>
        <w:pStyle w:val="BodyText"/>
        <w:spacing w:line="276" w:lineRule="auto"/>
        <w:ind w:left="1702" w:right="359"/>
        <w:jc w:val="both"/>
      </w:pP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trials, most (</w:t>
      </w:r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all) </w:t>
      </w:r>
      <w:proofErr w:type="spellStart"/>
      <w:r>
        <w:t>urological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for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to be </w:t>
      </w:r>
      <w:proofErr w:type="spellStart"/>
      <w:r>
        <w:t>inappropriate</w:t>
      </w:r>
      <w:proofErr w:type="spellEnd"/>
      <w:r>
        <w:t xml:space="preserve">.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Preventive</w:t>
      </w:r>
      <w:proofErr w:type="spellEnd"/>
      <w:r>
        <w:t xml:space="preserve"> Services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PSA-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male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PSA as a </w:t>
      </w:r>
      <w:proofErr w:type="spellStart"/>
      <w:r>
        <w:t>follow</w:t>
      </w:r>
      <w:proofErr w:type="spellEnd"/>
      <w:r>
        <w:t xml:space="preserve">-up or </w:t>
      </w:r>
      <w:proofErr w:type="spellStart"/>
      <w:r>
        <w:t>surveillance</w:t>
      </w:r>
      <w:proofErr w:type="spellEnd"/>
      <w:r>
        <w:t xml:space="preserve"> test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diagnosis or </w:t>
      </w:r>
      <w:proofErr w:type="spellStart"/>
      <w:r>
        <w:t>treatment</w:t>
      </w:r>
      <w:proofErr w:type="spellEnd"/>
      <w:r>
        <w:t>.</w:t>
      </w:r>
    </w:p>
    <w:p w14:paraId="597D9FCB" w14:textId="77777777" w:rsidR="00D81746" w:rsidRDefault="00D81746">
      <w:pPr>
        <w:pStyle w:val="BodyText"/>
        <w:spacing w:before="12"/>
      </w:pPr>
    </w:p>
    <w:p w14:paraId="436809A2" w14:textId="77777777" w:rsidR="00D81746" w:rsidRDefault="00000000">
      <w:pPr>
        <w:pStyle w:val="BodyText"/>
        <w:spacing w:line="276" w:lineRule="auto"/>
        <w:ind w:left="1702" w:right="35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can be </w:t>
      </w:r>
      <w:proofErr w:type="spellStart"/>
      <w:r>
        <w:t>minor</w:t>
      </w:r>
      <w:proofErr w:type="spellEnd"/>
      <w:r>
        <w:t xml:space="preserve"> or major.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former,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prostatic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70% of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PSA </w:t>
      </w:r>
      <w:proofErr w:type="spellStart"/>
      <w:r>
        <w:t>values</w:t>
      </w:r>
      <w:proofErr w:type="spellEnd"/>
      <w:r>
        <w:t xml:space="preserve"> (in general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≥4 </w:t>
      </w:r>
      <w:proofErr w:type="spellStart"/>
      <w:r>
        <w:t>ng</w:t>
      </w:r>
      <w:proofErr w:type="spellEnd"/>
      <w:r>
        <w:t xml:space="preserve">/ml),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 is </w:t>
      </w:r>
      <w:proofErr w:type="spellStart"/>
      <w:r>
        <w:t>negative</w:t>
      </w:r>
      <w:proofErr w:type="spellEnd"/>
      <w:r>
        <w:t xml:space="preserve"> (</w:t>
      </w:r>
      <w:proofErr w:type="spellStart"/>
      <w:r>
        <w:t>false</w:t>
      </w:r>
      <w:proofErr w:type="spellEnd"/>
      <w:r>
        <w:t xml:space="preserve"> positives),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prostatic</w:t>
      </w:r>
      <w:proofErr w:type="spellEnd"/>
      <w:r>
        <w:t xml:space="preserve"> </w:t>
      </w:r>
      <w:proofErr w:type="spellStart"/>
      <w:r>
        <w:t>biopsy</w:t>
      </w:r>
      <w:proofErr w:type="spellEnd"/>
      <w:r>
        <w:t xml:space="preserve">: </w:t>
      </w:r>
      <w:proofErr w:type="spellStart"/>
      <w:r>
        <w:t>hematuria</w:t>
      </w:r>
      <w:proofErr w:type="spellEnd"/>
      <w:r>
        <w:t xml:space="preserve"> (14-20%), </w:t>
      </w:r>
      <w:proofErr w:type="spellStart"/>
      <w:r>
        <w:t>hematospermia</w:t>
      </w:r>
      <w:proofErr w:type="spellEnd"/>
      <w:r>
        <w:t xml:space="preserve"> (38-50%), </w:t>
      </w:r>
      <w:proofErr w:type="spellStart"/>
      <w:r>
        <w:t>pain</w:t>
      </w:r>
      <w:proofErr w:type="spellEnd"/>
      <w:r>
        <w:t xml:space="preserve"> (8%)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 (4%).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(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, </w:t>
      </w:r>
      <w:proofErr w:type="spellStart"/>
      <w:r>
        <w:t>infection</w:t>
      </w:r>
      <w:proofErr w:type="spellEnd"/>
      <w:r>
        <w:t xml:space="preserve">, </w:t>
      </w:r>
      <w:proofErr w:type="spellStart"/>
      <w:r>
        <w:t>sepsis</w:t>
      </w:r>
      <w:proofErr w:type="spellEnd"/>
      <w:r>
        <w:t xml:space="preserve">)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hospitalization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present in 0.5-1% of cases.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overdiagnosis</w:t>
      </w:r>
      <w:proofErr w:type="spellEnd"/>
      <w:r>
        <w:t xml:space="preserve"> (up to 50% in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17-30% in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study</w:t>
      </w:r>
      <w:proofErr w:type="spellEnd"/>
      <w:r>
        <w:t xml:space="preserve">)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of indolent </w:t>
      </w:r>
      <w:proofErr w:type="spellStart"/>
      <w:r>
        <w:t>cancers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symptomatology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overtreatment</w:t>
      </w:r>
      <w:proofErr w:type="spellEnd"/>
      <w:r>
        <w:t xml:space="preserve"> (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/or </w:t>
      </w:r>
      <w:proofErr w:type="spellStart"/>
      <w:r>
        <w:t>radiotherapy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meninges). </w:t>
      </w:r>
      <w:proofErr w:type="spellStart"/>
      <w:r>
        <w:t>Infection</w:t>
      </w:r>
      <w:proofErr w:type="spellEnd"/>
      <w:r>
        <w:t xml:space="preserve">,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transfusion</w:t>
      </w:r>
      <w:proofErr w:type="spellEnd"/>
      <w:r>
        <w:t xml:space="preserve">, </w:t>
      </w:r>
      <w:proofErr w:type="spellStart"/>
      <w:r>
        <w:t>erectile</w:t>
      </w:r>
      <w:proofErr w:type="spellEnd"/>
      <w:r>
        <w:t xml:space="preserve"> </w:t>
      </w:r>
      <w:proofErr w:type="spellStart"/>
      <w:r>
        <w:t>dysfunction</w:t>
      </w:r>
      <w:proofErr w:type="spellEnd"/>
      <w:r>
        <w:t xml:space="preserve"> (40-80%)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incontinence</w:t>
      </w:r>
      <w:proofErr w:type="spellEnd"/>
      <w:r>
        <w:t xml:space="preserve"> (5-25% of </w:t>
      </w:r>
      <w:proofErr w:type="spellStart"/>
      <w:r>
        <w:t>patients</w:t>
      </w:r>
      <w:proofErr w:type="spellEnd"/>
      <w:r>
        <w:t xml:space="preserve">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 of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radiotherapy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toxicity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veins</w:t>
      </w:r>
      <w:proofErr w:type="spellEnd"/>
      <w:r>
        <w:t xml:space="preserve"> or </w:t>
      </w:r>
      <w:proofErr w:type="spellStart"/>
      <w:r>
        <w:t>cystitis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rectitis (5-10%).</w:t>
      </w:r>
    </w:p>
    <w:p w14:paraId="0946725B" w14:textId="77777777" w:rsidR="00D81746" w:rsidRDefault="00D81746">
      <w:pPr>
        <w:pStyle w:val="BodyText"/>
        <w:spacing w:before="9"/>
      </w:pPr>
    </w:p>
    <w:p w14:paraId="6E9DD31D" w14:textId="77777777" w:rsidR="00D81746" w:rsidRDefault="00000000">
      <w:pPr>
        <w:pStyle w:val="BodyText"/>
        <w:spacing w:line="276" w:lineRule="auto"/>
        <w:ind w:left="1702" w:right="360"/>
        <w:jc w:val="both"/>
      </w:pPr>
      <w:r>
        <w:t xml:space="preserve">All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for </w:t>
      </w:r>
      <w:proofErr w:type="spellStart"/>
      <w:r>
        <w:t>every</w:t>
      </w:r>
      <w:proofErr w:type="spellEnd"/>
      <w:r>
        <w:t xml:space="preserve"> 1,410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a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1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deaths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a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program</w:t>
      </w:r>
      <w:proofErr w:type="spellEnd"/>
      <w:r>
        <w:t xml:space="preserve">. Of </w:t>
      </w:r>
      <w:proofErr w:type="spellStart"/>
      <w:r>
        <w:t>these</w:t>
      </w:r>
      <w:proofErr w:type="spellEnd"/>
      <w:r>
        <w:t xml:space="preserve"> 1,410 participants, 48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>.</w:t>
      </w:r>
    </w:p>
    <w:p w14:paraId="37B8F95F" w14:textId="77777777" w:rsidR="00D81746" w:rsidRDefault="00D81746">
      <w:pPr>
        <w:spacing w:line="276" w:lineRule="auto"/>
        <w:jc w:val="both"/>
        <w:sectPr w:rsidR="00D81746">
          <w:pgSz w:w="11910" w:h="16840"/>
          <w:pgMar w:top="1600" w:right="1340" w:bottom="1200" w:left="0" w:header="0" w:footer="1004" w:gutter="0"/>
          <w:cols w:space="720"/>
        </w:sectPr>
      </w:pPr>
    </w:p>
    <w:p w14:paraId="4E437279" w14:textId="77777777" w:rsidR="00D81746" w:rsidRDefault="00000000">
      <w:pPr>
        <w:pStyle w:val="BodyText"/>
        <w:spacing w:before="91" w:line="276" w:lineRule="auto"/>
        <w:ind w:left="1702" w:right="365"/>
        <w:jc w:val="both"/>
      </w:pPr>
      <w:proofErr w:type="spellStart"/>
      <w:r>
        <w:lastRenderedPageBreak/>
        <w:t>unnecessarily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to. </w:t>
      </w:r>
      <w:proofErr w:type="spellStart"/>
      <w:r>
        <w:t>It</w:t>
      </w:r>
      <w:proofErr w:type="spellEnd"/>
      <w:r>
        <w:t xml:space="preserve"> goes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, as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any </w:t>
      </w:r>
      <w:proofErr w:type="spellStart"/>
      <w:r>
        <w:t>cause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>.</w:t>
      </w:r>
    </w:p>
    <w:p w14:paraId="0C8B784F" w14:textId="77777777" w:rsidR="00D81746" w:rsidRDefault="00D81746">
      <w:pPr>
        <w:pStyle w:val="BodyText"/>
        <w:spacing w:before="9"/>
      </w:pPr>
    </w:p>
    <w:p w14:paraId="5D9314D6" w14:textId="77777777" w:rsidR="00D81746" w:rsidRDefault="00000000">
      <w:pPr>
        <w:pStyle w:val="BodyText"/>
        <w:spacing w:line="276" w:lineRule="auto"/>
        <w:ind w:left="1702" w:right="356"/>
        <w:jc w:val="both"/>
      </w:pPr>
      <w:r>
        <w:t xml:space="preserve">In 2012, </w:t>
      </w:r>
      <w:proofErr w:type="spellStart"/>
      <w:r>
        <w:t>approximately</w:t>
      </w:r>
      <w:proofErr w:type="spellEnd"/>
      <w:r>
        <w:t xml:space="preserve"> 321,090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15 </w:t>
      </w:r>
      <w:proofErr w:type="spellStart"/>
      <w:r>
        <w:t>years</w:t>
      </w:r>
      <w:proofErr w:type="spellEnd"/>
      <w:r>
        <w:t xml:space="preserve"> or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underwent</w:t>
      </w:r>
      <w:proofErr w:type="spellEnd"/>
      <w:r>
        <w:t xml:space="preserve"> a PSA </w:t>
      </w:r>
      <w:proofErr w:type="spellStart"/>
      <w:r>
        <w:t>blood</w:t>
      </w:r>
      <w:proofErr w:type="spellEnd"/>
      <w:r>
        <w:t xml:space="preserve"> </w:t>
      </w:r>
      <w:r>
        <w:rPr>
          <w:spacing w:val="-1"/>
        </w:rPr>
        <w:t xml:space="preserve">test </w:t>
      </w:r>
      <w:r>
        <w:t xml:space="preserve">in </w:t>
      </w:r>
      <w:proofErr w:type="spellStart"/>
      <w:r>
        <w:t>Catalonia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</w:t>
      </w:r>
      <w:r>
        <w:t xml:space="preserve">ICS SISAP.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 (62.8%)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individuals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or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PSA </w:t>
      </w:r>
      <w:proofErr w:type="spellStart"/>
      <w:r>
        <w:t>testing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</w:t>
      </w:r>
      <w:proofErr w:type="spellStart"/>
      <w:r>
        <w:t>men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14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) is 6.5%,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to 11.6%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40 </w:t>
      </w:r>
      <w:proofErr w:type="spellStart"/>
      <w:r>
        <w:t>years</w:t>
      </w:r>
      <w:proofErr w:type="spellEnd"/>
      <w:r>
        <w:t xml:space="preserve"> or </w:t>
      </w:r>
      <w:proofErr w:type="spellStart"/>
      <w:r>
        <w:t>older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is 65-74 </w:t>
      </w:r>
      <w:proofErr w:type="spellStart"/>
      <w:r>
        <w:t>years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PSA test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6E934109" w14:textId="77777777" w:rsidR="00D81746" w:rsidRDefault="00D81746">
      <w:pPr>
        <w:pStyle w:val="BodyText"/>
        <w:spacing w:before="11"/>
      </w:pPr>
    </w:p>
    <w:p w14:paraId="2232FAAC" w14:textId="77777777" w:rsidR="00D81746" w:rsidRDefault="00000000">
      <w:pPr>
        <w:pStyle w:val="BodyText"/>
        <w:spacing w:line="276" w:lineRule="auto"/>
        <w:ind w:left="1702" w:right="357"/>
        <w:jc w:val="both"/>
      </w:pPr>
      <w:proofErr w:type="spellStart"/>
      <w:r>
        <w:t>The</w:t>
      </w:r>
      <w:proofErr w:type="spellEnd"/>
      <w:r>
        <w:t xml:space="preserve"> total </w:t>
      </w:r>
      <w:proofErr w:type="spellStart"/>
      <w:r>
        <w:t>number</w:t>
      </w:r>
      <w:proofErr w:type="spellEnd"/>
      <w:r>
        <w:t xml:space="preserve"> of PSA </w:t>
      </w:r>
      <w:proofErr w:type="spellStart"/>
      <w:r>
        <w:t>determinations</w:t>
      </w:r>
      <w:proofErr w:type="spellEnd"/>
      <w:r>
        <w:t xml:space="preserve"> in </w:t>
      </w:r>
      <w:proofErr w:type="spellStart"/>
      <w:r>
        <w:t>blood</w:t>
      </w:r>
      <w:proofErr w:type="spellEnd"/>
      <w:r>
        <w:t xml:space="preserve"> has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18.1%,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66.0%.</w:t>
      </w:r>
    </w:p>
    <w:p w14:paraId="18C74A77" w14:textId="77777777" w:rsidR="00D81746" w:rsidRDefault="00D81746">
      <w:pPr>
        <w:pStyle w:val="BodyText"/>
        <w:spacing w:before="11"/>
      </w:pPr>
    </w:p>
    <w:p w14:paraId="308070A0" w14:textId="77777777" w:rsidR="00D81746" w:rsidRDefault="00000000">
      <w:pPr>
        <w:pStyle w:val="BodyText"/>
        <w:spacing w:line="276" w:lineRule="auto"/>
        <w:ind w:left="1702" w:right="365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PSA </w:t>
      </w:r>
      <w:proofErr w:type="spellStart"/>
      <w:r>
        <w:t>determination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40 </w:t>
      </w:r>
      <w:proofErr w:type="spellStart"/>
      <w:r>
        <w:t>years</w:t>
      </w:r>
      <w:proofErr w:type="spellEnd"/>
      <w:r>
        <w:t xml:space="preserve"> or </w:t>
      </w:r>
      <w:proofErr w:type="spellStart"/>
      <w:r>
        <w:t>older</w:t>
      </w:r>
      <w:proofErr w:type="spellEnd"/>
      <w:r>
        <w:t xml:space="preserve"> shows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rPr>
          <w:spacing w:val="-6"/>
        </w:rPr>
        <w:t>teams</w:t>
      </w:r>
      <w:proofErr w:type="spellEnd"/>
      <w:r>
        <w:rPr>
          <w:spacing w:val="-6"/>
        </w:rPr>
        <w:t xml:space="preserve"> </w:t>
      </w:r>
      <w:r>
        <w:t xml:space="preserve">(PCS). </w:t>
      </w:r>
      <w:proofErr w:type="spellStart"/>
      <w:r>
        <w:t>The</w:t>
      </w:r>
      <w:proofErr w:type="spellEnd"/>
      <w:r>
        <w:t xml:space="preserve"> 25% of </w:t>
      </w:r>
      <w:proofErr w:type="spellStart"/>
      <w:r>
        <w:t>the</w:t>
      </w:r>
      <w:proofErr w:type="spellEnd"/>
      <w:r>
        <w:t xml:space="preserve"> PSA tests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8.9%,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25%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14.1%.</w:t>
      </w:r>
    </w:p>
    <w:p w14:paraId="4A6D8935" w14:textId="77777777" w:rsidR="00D81746" w:rsidRDefault="00D81746">
      <w:pPr>
        <w:pStyle w:val="BodyText"/>
        <w:spacing w:before="8"/>
      </w:pPr>
    </w:p>
    <w:p w14:paraId="6735A359" w14:textId="77777777" w:rsidR="00D81746" w:rsidRDefault="00000000">
      <w:pPr>
        <w:pStyle w:val="BodyText"/>
        <w:spacing w:line="276" w:lineRule="auto"/>
        <w:ind w:left="1702" w:right="358"/>
        <w:jc w:val="both"/>
      </w:pPr>
      <w:proofErr w:type="spellStart"/>
      <w:r>
        <w:t>It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PSA </w:t>
      </w:r>
      <w:proofErr w:type="spellStart"/>
      <w:r>
        <w:t>testing</w:t>
      </w:r>
      <w:proofErr w:type="spellEnd"/>
      <w:r>
        <w:t xml:space="preserve"> in a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or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factors (BCRA </w:t>
      </w:r>
      <w:proofErr w:type="spellStart"/>
      <w:r>
        <w:t>mutations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/or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a </w:t>
      </w:r>
      <w:proofErr w:type="spellStart"/>
      <w:r>
        <w:t>history</w:t>
      </w:r>
      <w:proofErr w:type="spellEnd"/>
      <w:r>
        <w:t xml:space="preserve"> of a parent or </w:t>
      </w:r>
      <w:proofErr w:type="spellStart"/>
      <w:r>
        <w:t>sibling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60 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).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a </w:t>
      </w:r>
      <w:proofErr w:type="spellStart"/>
      <w:r>
        <w:t>history</w:t>
      </w:r>
      <w:proofErr w:type="spellEnd"/>
      <w:r>
        <w:t xml:space="preserve"> of a parent or </w:t>
      </w:r>
      <w:proofErr w:type="spellStart"/>
      <w:r>
        <w:t>sibling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60 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predispose</w:t>
      </w:r>
      <w:proofErr w:type="spellEnd"/>
      <w:r>
        <w:t xml:space="preserve"> (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) to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individuals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(</w:t>
      </w:r>
      <w:proofErr w:type="spellStart"/>
      <w:r>
        <w:t>increased</w:t>
      </w:r>
      <w:proofErr w:type="spellEnd"/>
      <w:r>
        <w:t xml:space="preserve">) </w:t>
      </w:r>
      <w:proofErr w:type="spellStart"/>
      <w:r>
        <w:t>risk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natural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possible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screening</w:t>
      </w:r>
      <w:proofErr w:type="spellEnd"/>
      <w:r>
        <w:t>.</w:t>
      </w:r>
    </w:p>
    <w:p w14:paraId="0FC87928" w14:textId="77777777" w:rsidR="00D81746" w:rsidRDefault="00D81746">
      <w:pPr>
        <w:pStyle w:val="BodyText"/>
        <w:spacing w:before="12"/>
      </w:pPr>
    </w:p>
    <w:p w14:paraId="18DCB59F" w14:textId="77777777" w:rsidR="00D81746" w:rsidRDefault="00000000">
      <w:pPr>
        <w:pStyle w:val="BodyText"/>
        <w:ind w:left="1702"/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unjustified</w:t>
      </w:r>
      <w:proofErr w:type="spellEnd"/>
      <w:r>
        <w:t xml:space="preserve"> territorial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decrease</w:t>
      </w:r>
      <w:proofErr w:type="spellEnd"/>
      <w:r>
        <w:t xml:space="preserve"> of up </w:t>
      </w:r>
      <w:r>
        <w:rPr>
          <w:spacing w:val="-10"/>
        </w:rPr>
        <w:t>to</w:t>
      </w:r>
    </w:p>
    <w:p w14:paraId="6630502E" w14:textId="77777777" w:rsidR="00D81746" w:rsidRDefault="00000000">
      <w:pPr>
        <w:pStyle w:val="BodyText"/>
        <w:spacing w:before="34" w:line="276" w:lineRule="auto"/>
        <w:ind w:left="1702" w:right="13"/>
      </w:pPr>
      <w:r>
        <w:t xml:space="preserve">65,000 tests per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false</w:t>
      </w:r>
      <w:proofErr w:type="spellEnd"/>
      <w:r>
        <w:t xml:space="preserve"> positives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>.</w:t>
      </w:r>
    </w:p>
    <w:p w14:paraId="6680D01F" w14:textId="77777777" w:rsidR="00D81746" w:rsidRDefault="00D81746">
      <w:pPr>
        <w:pStyle w:val="BodyText"/>
        <w:spacing w:before="9"/>
      </w:pPr>
    </w:p>
    <w:p w14:paraId="76BD262D" w14:textId="77777777" w:rsidR="00D81746" w:rsidRDefault="00000000">
      <w:pPr>
        <w:pStyle w:val="BodyText"/>
        <w:spacing w:line="276" w:lineRule="auto"/>
        <w:ind w:left="1702" w:right="362"/>
        <w:jc w:val="both"/>
      </w:pPr>
      <w:r>
        <w:t xml:space="preserve">Any </w:t>
      </w:r>
      <w:proofErr w:type="spellStart"/>
      <w:r>
        <w:t>consideration</w:t>
      </w:r>
      <w:proofErr w:type="spellEnd"/>
      <w:r>
        <w:t xml:space="preserve"> of a PSA test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full </w:t>
      </w:r>
      <w:proofErr w:type="spellStart"/>
      <w:r>
        <w:t>information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expectancy</w:t>
      </w:r>
      <w:proofErr w:type="spellEnd"/>
      <w:r>
        <w:t xml:space="preserve"> of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10-15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is </w:t>
      </w:r>
      <w:proofErr w:type="spellStart"/>
      <w:r>
        <w:t>unlikely</w:t>
      </w:r>
      <w:proofErr w:type="spellEnd"/>
      <w:r>
        <w:t xml:space="preserve"> to be of </w:t>
      </w:r>
      <w:proofErr w:type="spellStart"/>
      <w:r>
        <w:t>benefit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of </w:t>
      </w:r>
      <w:proofErr w:type="spellStart"/>
      <w:r>
        <w:t>routinely</w:t>
      </w:r>
      <w:proofErr w:type="spellEnd"/>
      <w:r>
        <w:t xml:space="preserve"> </w:t>
      </w:r>
      <w:proofErr w:type="spellStart"/>
      <w:r>
        <w:t>requesting</w:t>
      </w:r>
      <w:proofErr w:type="spellEnd"/>
      <w:r>
        <w:t xml:space="preserve"> PSA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rPr>
          <w:spacing w:val="-1"/>
        </w:rPr>
        <w:t>within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battery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tests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acceptable </w:t>
      </w:r>
      <w:proofErr w:type="spellStart"/>
      <w:r>
        <w:t>practice</w:t>
      </w:r>
      <w:proofErr w:type="spellEnd"/>
      <w:r>
        <w:t xml:space="preserve">.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to, </w:t>
      </w:r>
      <w:proofErr w:type="spellStart"/>
      <w:r>
        <w:t>screening</w:t>
      </w:r>
      <w:proofErr w:type="spellEnd"/>
      <w:r>
        <w:t xml:space="preserve"> (</w:t>
      </w:r>
      <w:proofErr w:type="spellStart"/>
      <w:r>
        <w:t>population</w:t>
      </w:r>
      <w:proofErr w:type="spellEnd"/>
      <w:r>
        <w:t xml:space="preserve"> or </w:t>
      </w:r>
      <w:proofErr w:type="spellStart"/>
      <w:r>
        <w:t>opportunistic</w:t>
      </w:r>
      <w:proofErr w:type="spellEnd"/>
      <w:r>
        <w:t xml:space="preserve">) for </w:t>
      </w:r>
      <w:proofErr w:type="spellStart"/>
      <w:r>
        <w:t>prostate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PSA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show clear </w:t>
      </w:r>
      <w:proofErr w:type="spellStart"/>
      <w:r>
        <w:t>benefits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mortality</w:t>
      </w:r>
      <w:proofErr w:type="spellEnd"/>
      <w:r>
        <w:t>.</w:t>
      </w:r>
    </w:p>
    <w:p w14:paraId="516E8249" w14:textId="77777777" w:rsidR="00D81746" w:rsidRDefault="00000000">
      <w:pPr>
        <w:pStyle w:val="Heading1"/>
        <w:spacing w:before="121"/>
        <w:jc w:val="both"/>
      </w:pPr>
      <w:bookmarkStart w:id="3" w:name="Amb_el_suport_de_"/>
      <w:bookmarkEnd w:id="3"/>
      <w:proofErr w:type="spellStart"/>
      <w:r>
        <w:rPr>
          <w:color w:val="2C5560"/>
        </w:rPr>
        <w:t>With</w:t>
      </w:r>
      <w:proofErr w:type="spellEnd"/>
      <w:r>
        <w:rPr>
          <w:color w:val="2C5560"/>
        </w:rPr>
        <w:t xml:space="preserve"> </w:t>
      </w:r>
      <w:proofErr w:type="spellStart"/>
      <w:r>
        <w:rPr>
          <w:color w:val="2C5560"/>
        </w:rPr>
        <w:t>the</w:t>
      </w:r>
      <w:proofErr w:type="spellEnd"/>
      <w:r>
        <w:rPr>
          <w:color w:val="2C5560"/>
        </w:rPr>
        <w:t xml:space="preserve"> </w:t>
      </w:r>
      <w:proofErr w:type="spellStart"/>
      <w:r>
        <w:rPr>
          <w:color w:val="2C5560"/>
        </w:rPr>
        <w:t>support</w:t>
      </w:r>
      <w:proofErr w:type="spellEnd"/>
      <w:r>
        <w:rPr>
          <w:color w:val="2C5560"/>
        </w:rPr>
        <w:t xml:space="preserve"> </w:t>
      </w:r>
      <w:r>
        <w:rPr>
          <w:color w:val="2C5560"/>
          <w:spacing w:val="-5"/>
        </w:rPr>
        <w:t>of</w:t>
      </w:r>
    </w:p>
    <w:p w14:paraId="178900C4" w14:textId="77777777" w:rsidR="00D81746" w:rsidRDefault="00000000">
      <w:pPr>
        <w:pStyle w:val="BodyText"/>
        <w:spacing w:before="177"/>
        <w:rPr>
          <w:b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4E30FE1" wp14:editId="45E52E03">
            <wp:simplePos x="0" y="0"/>
            <wp:positionH relativeFrom="page">
              <wp:posOffset>1120762</wp:posOffset>
            </wp:positionH>
            <wp:positionV relativeFrom="paragraph">
              <wp:posOffset>273672</wp:posOffset>
            </wp:positionV>
            <wp:extent cx="4084805" cy="109547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805" cy="109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F154C" w14:textId="77777777" w:rsidR="00D81746" w:rsidRDefault="00D81746">
      <w:pPr>
        <w:sectPr w:rsidR="00D81746">
          <w:pgSz w:w="11910" w:h="16840"/>
          <w:pgMar w:top="1600" w:right="1340" w:bottom="1200" w:left="0" w:header="0" w:footer="1004" w:gutter="0"/>
          <w:cols w:space="720"/>
        </w:sectPr>
      </w:pPr>
    </w:p>
    <w:p w14:paraId="58110A5B" w14:textId="77777777" w:rsidR="00D81746" w:rsidRDefault="00000000">
      <w:pPr>
        <w:spacing w:before="89"/>
        <w:ind w:left="1702"/>
        <w:rPr>
          <w:b/>
          <w:sz w:val="24"/>
        </w:rPr>
      </w:pPr>
      <w:bookmarkStart w:id="4" w:name="Fonts_"/>
      <w:bookmarkEnd w:id="4"/>
      <w:r>
        <w:rPr>
          <w:b/>
          <w:color w:val="2C5560"/>
          <w:spacing w:val="-2"/>
          <w:sz w:val="24"/>
        </w:rPr>
        <w:lastRenderedPageBreak/>
        <w:t>Fonts</w:t>
      </w:r>
    </w:p>
    <w:p w14:paraId="20C727BE" w14:textId="77777777" w:rsidR="00D81746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258" w:line="220" w:lineRule="auto"/>
        <w:ind w:right="763"/>
        <w:jc w:val="left"/>
        <w:rPr>
          <w:sz w:val="18"/>
        </w:rPr>
      </w:pPr>
      <w:proofErr w:type="spellStart"/>
      <w:r>
        <w:rPr>
          <w:sz w:val="18"/>
        </w:rPr>
        <w:t>Heidenreich</w:t>
      </w:r>
      <w:proofErr w:type="spellEnd"/>
      <w:r>
        <w:rPr>
          <w:sz w:val="18"/>
        </w:rPr>
        <w:t xml:space="preserve"> A, </w:t>
      </w:r>
      <w:proofErr w:type="spellStart"/>
      <w:r>
        <w:rPr>
          <w:sz w:val="18"/>
        </w:rPr>
        <w:t>Bastian</w:t>
      </w:r>
      <w:proofErr w:type="spellEnd"/>
      <w:r>
        <w:rPr>
          <w:sz w:val="18"/>
        </w:rPr>
        <w:t xml:space="preserve"> PJ, Bellmunt J, Bolla M, </w:t>
      </w:r>
      <w:proofErr w:type="spellStart"/>
      <w:r>
        <w:rPr>
          <w:sz w:val="18"/>
        </w:rPr>
        <w:t>Joniau</w:t>
      </w:r>
      <w:proofErr w:type="spellEnd"/>
      <w:r>
        <w:rPr>
          <w:sz w:val="18"/>
        </w:rPr>
        <w:t xml:space="preserve"> S, </w:t>
      </w:r>
      <w:proofErr w:type="spellStart"/>
      <w:r>
        <w:rPr>
          <w:sz w:val="18"/>
        </w:rPr>
        <w:t>Mason</w:t>
      </w:r>
      <w:proofErr w:type="spellEnd"/>
      <w:r>
        <w:rPr>
          <w:sz w:val="18"/>
        </w:rPr>
        <w:t xml:space="preserve"> MD et al. </w:t>
      </w:r>
      <w:proofErr w:type="spellStart"/>
      <w:r>
        <w:rPr>
          <w:sz w:val="18"/>
        </w:rPr>
        <w:t>Guidelines</w:t>
      </w:r>
      <w:proofErr w:type="spellEnd"/>
      <w:r>
        <w:rPr>
          <w:sz w:val="18"/>
        </w:rPr>
        <w:t xml:space="preserve"> for </w:t>
      </w:r>
      <w:proofErr w:type="spellStart"/>
      <w:r>
        <w:rPr>
          <w:sz w:val="18"/>
        </w:rPr>
        <w:t>Prostate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Cancer</w:t>
      </w:r>
      <w:proofErr w:type="spellEnd"/>
      <w:r>
        <w:rPr>
          <w:sz w:val="18"/>
        </w:rPr>
        <w:t xml:space="preserve"> European </w:t>
      </w:r>
      <w:proofErr w:type="spellStart"/>
      <w:r>
        <w:rPr>
          <w:sz w:val="18"/>
        </w:rPr>
        <w:t>Association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Urology</w:t>
      </w:r>
      <w:proofErr w:type="spellEnd"/>
      <w:r>
        <w:rPr>
          <w:sz w:val="18"/>
        </w:rPr>
        <w:t xml:space="preserve">. 2012. </w:t>
      </w:r>
      <w:proofErr w:type="spellStart"/>
      <w:r>
        <w:rPr>
          <w:sz w:val="18"/>
        </w:rPr>
        <w:t>Available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: </w:t>
      </w:r>
      <w:hyperlink r:id="rId10">
        <w:r>
          <w:rPr>
            <w:color w:val="448192"/>
            <w:spacing w:val="-2"/>
            <w:sz w:val="18"/>
          </w:rPr>
          <w:t>https://www.guideline.gov/summaries/summary/45320</w:t>
        </w:r>
      </w:hyperlink>
    </w:p>
    <w:p w14:paraId="134C5FF8" w14:textId="77777777" w:rsidR="00D81746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137" w:line="223" w:lineRule="auto"/>
        <w:ind w:right="540"/>
        <w:jc w:val="left"/>
        <w:rPr>
          <w:sz w:val="18"/>
        </w:rPr>
      </w:pPr>
      <w:proofErr w:type="spellStart"/>
      <w:r>
        <w:rPr>
          <w:sz w:val="18"/>
        </w:rPr>
        <w:t>Ilic</w:t>
      </w:r>
      <w:proofErr w:type="spellEnd"/>
      <w:r>
        <w:rPr>
          <w:sz w:val="18"/>
        </w:rPr>
        <w:t xml:space="preserve"> D, </w:t>
      </w:r>
      <w:proofErr w:type="spellStart"/>
      <w:r>
        <w:rPr>
          <w:sz w:val="18"/>
        </w:rPr>
        <w:t>Neuberger</w:t>
      </w:r>
      <w:proofErr w:type="spellEnd"/>
      <w:r>
        <w:rPr>
          <w:sz w:val="18"/>
        </w:rPr>
        <w:t xml:space="preserve"> MM, </w:t>
      </w:r>
      <w:proofErr w:type="spellStart"/>
      <w:r>
        <w:rPr>
          <w:sz w:val="18"/>
        </w:rPr>
        <w:t>Djulbegovic</w:t>
      </w:r>
      <w:proofErr w:type="spellEnd"/>
      <w:r>
        <w:rPr>
          <w:sz w:val="18"/>
        </w:rPr>
        <w:t xml:space="preserve"> M, </w:t>
      </w:r>
      <w:proofErr w:type="spellStart"/>
      <w:r>
        <w:rPr>
          <w:sz w:val="18"/>
        </w:rPr>
        <w:t>Dahm</w:t>
      </w:r>
      <w:proofErr w:type="spellEnd"/>
      <w:r>
        <w:rPr>
          <w:sz w:val="18"/>
        </w:rPr>
        <w:t xml:space="preserve"> P. </w:t>
      </w:r>
      <w:proofErr w:type="spellStart"/>
      <w:r>
        <w:rPr>
          <w:sz w:val="18"/>
        </w:rPr>
        <w:t>Screening</w:t>
      </w:r>
      <w:proofErr w:type="spellEnd"/>
      <w:r>
        <w:rPr>
          <w:sz w:val="18"/>
        </w:rPr>
        <w:t xml:space="preserve"> for </w:t>
      </w:r>
      <w:proofErr w:type="spellStart"/>
      <w:r>
        <w:rPr>
          <w:sz w:val="18"/>
        </w:rPr>
        <w:t>prostate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cancer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Cochrane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Database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Systematic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Reviews</w:t>
      </w:r>
      <w:proofErr w:type="spellEnd"/>
      <w:r>
        <w:rPr>
          <w:sz w:val="18"/>
        </w:rPr>
        <w:t xml:space="preserve"> 2013, </w:t>
      </w:r>
      <w:proofErr w:type="spellStart"/>
      <w:r>
        <w:rPr>
          <w:sz w:val="18"/>
        </w:rPr>
        <w:t>issue</w:t>
      </w:r>
      <w:proofErr w:type="spellEnd"/>
      <w:r>
        <w:rPr>
          <w:sz w:val="18"/>
        </w:rPr>
        <w:t xml:space="preserve"> 1. Art. No.:CD004720. DOI: 10.1002/14651858.CD00472.pub3. </w:t>
      </w:r>
      <w:proofErr w:type="spellStart"/>
      <w:r>
        <w:rPr>
          <w:sz w:val="18"/>
        </w:rPr>
        <w:t>Available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: </w:t>
      </w:r>
      <w:hyperlink r:id="rId11">
        <w:r>
          <w:rPr>
            <w:color w:val="448192"/>
            <w:sz w:val="18"/>
          </w:rPr>
          <w:t>https://www.cochranelibrary.com/cdsr/doi/10.1002/14651858.CD004720.pub3/full.</w:t>
        </w:r>
      </w:hyperlink>
    </w:p>
    <w:p w14:paraId="740A6C8E" w14:textId="77777777" w:rsidR="00D81746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131" w:line="228" w:lineRule="auto"/>
        <w:ind w:right="242"/>
        <w:rPr>
          <w:sz w:val="18"/>
        </w:rPr>
      </w:pPr>
      <w:r>
        <w:rPr>
          <w:sz w:val="18"/>
        </w:rPr>
        <w:t xml:space="preserve">Virginia A. </w:t>
      </w:r>
      <w:proofErr w:type="spellStart"/>
      <w:r>
        <w:rPr>
          <w:sz w:val="18"/>
        </w:rPr>
        <w:t>Moyer</w:t>
      </w:r>
      <w:proofErr w:type="spellEnd"/>
      <w:r>
        <w:rPr>
          <w:sz w:val="18"/>
        </w:rPr>
        <w:t xml:space="preserve">, MD, </w:t>
      </w:r>
      <w:proofErr w:type="spellStart"/>
      <w:r>
        <w:rPr>
          <w:sz w:val="18"/>
        </w:rPr>
        <w:t>PhD</w:t>
      </w:r>
      <w:proofErr w:type="spellEnd"/>
      <w:r>
        <w:rPr>
          <w:sz w:val="18"/>
        </w:rPr>
        <w:t xml:space="preserve">, on </w:t>
      </w:r>
      <w:proofErr w:type="spellStart"/>
      <w:r>
        <w:rPr>
          <w:sz w:val="18"/>
        </w:rPr>
        <w:t>behalf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U.S. </w:t>
      </w:r>
      <w:proofErr w:type="spellStart"/>
      <w:r>
        <w:rPr>
          <w:sz w:val="18"/>
        </w:rPr>
        <w:t>Preventive</w:t>
      </w:r>
      <w:proofErr w:type="spellEnd"/>
      <w:r>
        <w:rPr>
          <w:sz w:val="18"/>
        </w:rPr>
        <w:t xml:space="preserve"> Services </w:t>
      </w:r>
      <w:proofErr w:type="spellStart"/>
      <w:r>
        <w:rPr>
          <w:sz w:val="18"/>
        </w:rPr>
        <w:t>Task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Force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Screening</w:t>
      </w:r>
      <w:proofErr w:type="spellEnd"/>
      <w:r>
        <w:rPr>
          <w:sz w:val="18"/>
        </w:rPr>
        <w:t xml:space="preserve"> for </w:t>
      </w:r>
      <w:proofErr w:type="spellStart"/>
      <w:r>
        <w:rPr>
          <w:sz w:val="18"/>
        </w:rPr>
        <w:t>Prostate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Cancer</w:t>
      </w:r>
      <w:proofErr w:type="spellEnd"/>
      <w:r>
        <w:rPr>
          <w:sz w:val="18"/>
        </w:rPr>
        <w:t xml:space="preserve">: U.S. </w:t>
      </w:r>
      <w:proofErr w:type="spellStart"/>
      <w:r>
        <w:rPr>
          <w:sz w:val="18"/>
        </w:rPr>
        <w:t>Preventive</w:t>
      </w:r>
      <w:proofErr w:type="spellEnd"/>
      <w:r>
        <w:rPr>
          <w:sz w:val="18"/>
        </w:rPr>
        <w:t xml:space="preserve"> Services </w:t>
      </w:r>
      <w:proofErr w:type="spellStart"/>
      <w:r>
        <w:rPr>
          <w:sz w:val="18"/>
        </w:rPr>
        <w:t>Task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Recommendation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Statement</w:t>
      </w:r>
      <w:proofErr w:type="spellEnd"/>
      <w:r>
        <w:rPr>
          <w:sz w:val="18"/>
        </w:rPr>
        <w:t xml:space="preserve">. Ann Intern </w:t>
      </w:r>
      <w:proofErr w:type="spellStart"/>
      <w:r>
        <w:rPr>
          <w:sz w:val="18"/>
        </w:rPr>
        <w:t>Med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Available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: </w:t>
      </w:r>
      <w:hyperlink r:id="rId12">
        <w:r>
          <w:rPr>
            <w:color w:val="448192"/>
            <w:sz w:val="18"/>
          </w:rPr>
          <w:t xml:space="preserve">http://annals.org/aim/fullarticle/1216568/screening-prostate-cancer-us-preventive-services-task-force- </w:t>
        </w:r>
      </w:hyperlink>
      <w:hyperlink r:id="rId13">
        <w:proofErr w:type="spellStart"/>
        <w:r>
          <w:rPr>
            <w:color w:val="448192"/>
            <w:spacing w:val="-2"/>
            <w:sz w:val="18"/>
          </w:rPr>
          <w:t>recommendation</w:t>
        </w:r>
        <w:proofErr w:type="spellEnd"/>
      </w:hyperlink>
    </w:p>
    <w:p w14:paraId="4EF37E05" w14:textId="77777777" w:rsidR="00D81746" w:rsidRDefault="00000000">
      <w:pPr>
        <w:pStyle w:val="ListParagraph"/>
        <w:numPr>
          <w:ilvl w:val="0"/>
          <w:numId w:val="1"/>
        </w:numPr>
        <w:tabs>
          <w:tab w:val="left" w:pos="1985"/>
          <w:tab w:val="left" w:pos="10167"/>
        </w:tabs>
        <w:spacing w:before="149" w:line="206" w:lineRule="auto"/>
        <w:ind w:right="243"/>
        <w:jc w:val="left"/>
        <w:rPr>
          <w:sz w:val="18"/>
        </w:rPr>
      </w:pPr>
      <w:r>
        <w:rPr>
          <w:sz w:val="18"/>
        </w:rPr>
        <w:t>PSA-</w:t>
      </w:r>
      <w:proofErr w:type="spellStart"/>
      <w:r>
        <w:rPr>
          <w:sz w:val="18"/>
        </w:rPr>
        <w:t>based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screening</w:t>
      </w:r>
      <w:proofErr w:type="spellEnd"/>
      <w:r>
        <w:rPr>
          <w:sz w:val="18"/>
        </w:rPr>
        <w:t xml:space="preserve"> for </w:t>
      </w:r>
      <w:proofErr w:type="spellStart"/>
      <w:r>
        <w:rPr>
          <w:sz w:val="18"/>
        </w:rPr>
        <w:t>prostate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cancer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Too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adverse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effects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Rev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Prescrire</w:t>
      </w:r>
      <w:proofErr w:type="spellEnd"/>
      <w:r>
        <w:rPr>
          <w:sz w:val="18"/>
        </w:rPr>
        <w:t xml:space="preserve"> 2012;32:207-209. </w:t>
      </w:r>
      <w:proofErr w:type="spellStart"/>
      <w:r>
        <w:rPr>
          <w:spacing w:val="-2"/>
          <w:sz w:val="18"/>
        </w:rPr>
        <w:t>Available</w:t>
      </w:r>
      <w:proofErr w:type="spellEnd"/>
      <w:r>
        <w:rPr>
          <w:sz w:val="18"/>
        </w:rPr>
        <w:tab/>
      </w:r>
      <w:r>
        <w:rPr>
          <w:spacing w:val="-6"/>
          <w:sz w:val="18"/>
        </w:rPr>
        <w:t>a:</w:t>
      </w:r>
    </w:p>
    <w:p w14:paraId="6E365829" w14:textId="77777777" w:rsidR="00D81746" w:rsidRDefault="00000000">
      <w:pPr>
        <w:spacing w:before="5"/>
        <w:ind w:left="1985"/>
        <w:rPr>
          <w:sz w:val="18"/>
        </w:rPr>
      </w:pPr>
      <w:hyperlink r:id="rId14">
        <w:r>
          <w:rPr>
            <w:color w:val="448192"/>
            <w:spacing w:val="-2"/>
            <w:sz w:val="18"/>
          </w:rPr>
          <w:t xml:space="preserve">https://www.ncbi.nlm.nih.gov/pubmed/?term=PSAbased+screening+for+prostate+cancer.+Too+many+a </w:t>
        </w:r>
      </w:hyperlink>
      <w:hyperlink r:id="rId15">
        <w:proofErr w:type="spellStart"/>
        <w:r>
          <w:rPr>
            <w:color w:val="448192"/>
            <w:spacing w:val="-2"/>
            <w:sz w:val="18"/>
          </w:rPr>
          <w:t>dverse+effects</w:t>
        </w:r>
        <w:proofErr w:type="spellEnd"/>
      </w:hyperlink>
    </w:p>
    <w:p w14:paraId="35E10EA3" w14:textId="77777777" w:rsidR="00D81746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149" w:line="206" w:lineRule="auto"/>
        <w:ind w:right="242"/>
        <w:rPr>
          <w:sz w:val="18"/>
        </w:rPr>
      </w:pPr>
      <w:r>
        <w:rPr>
          <w:sz w:val="18"/>
        </w:rPr>
        <w:t xml:space="preserve">Miller AB. New data on </w:t>
      </w:r>
      <w:proofErr w:type="spellStart"/>
      <w:r>
        <w:rPr>
          <w:sz w:val="18"/>
        </w:rPr>
        <w:t>prostate-cancer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mortality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after</w:t>
      </w:r>
      <w:proofErr w:type="spellEnd"/>
      <w:r>
        <w:rPr>
          <w:sz w:val="18"/>
        </w:rPr>
        <w:t xml:space="preserve"> PSA </w:t>
      </w:r>
      <w:proofErr w:type="spellStart"/>
      <w:r>
        <w:rPr>
          <w:sz w:val="18"/>
        </w:rPr>
        <w:t>screening</w:t>
      </w:r>
      <w:proofErr w:type="spellEnd"/>
      <w:r>
        <w:rPr>
          <w:sz w:val="18"/>
        </w:rPr>
        <w:t xml:space="preserve">. N </w:t>
      </w:r>
      <w:proofErr w:type="spellStart"/>
      <w:r>
        <w:rPr>
          <w:sz w:val="18"/>
        </w:rPr>
        <w:t>Engl</w:t>
      </w:r>
      <w:proofErr w:type="spellEnd"/>
      <w:r>
        <w:rPr>
          <w:sz w:val="18"/>
        </w:rPr>
        <w:t xml:space="preserve"> J </w:t>
      </w:r>
      <w:proofErr w:type="spellStart"/>
      <w:r>
        <w:rPr>
          <w:sz w:val="18"/>
        </w:rPr>
        <w:t>Med</w:t>
      </w:r>
      <w:proofErr w:type="spellEnd"/>
      <w:r>
        <w:rPr>
          <w:sz w:val="18"/>
        </w:rPr>
        <w:t xml:space="preserve">. 2012;366:1047- 48. </w:t>
      </w:r>
      <w:proofErr w:type="spellStart"/>
      <w:r>
        <w:rPr>
          <w:sz w:val="18"/>
        </w:rPr>
        <w:t>Available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: </w:t>
      </w:r>
      <w:hyperlink r:id="rId16">
        <w:r>
          <w:rPr>
            <w:color w:val="448192"/>
            <w:sz w:val="18"/>
          </w:rPr>
          <w:t>https://www.nejm.org/doi/full/10.1056/NEJMe1200185</w:t>
        </w:r>
      </w:hyperlink>
    </w:p>
    <w:p w14:paraId="15FB52DE" w14:textId="77777777" w:rsidR="00D81746" w:rsidRDefault="00000000">
      <w:pPr>
        <w:pStyle w:val="ListParagraph"/>
        <w:numPr>
          <w:ilvl w:val="0"/>
          <w:numId w:val="1"/>
        </w:numPr>
        <w:tabs>
          <w:tab w:val="left" w:pos="1985"/>
          <w:tab w:val="left" w:pos="2706"/>
          <w:tab w:val="left" w:pos="3905"/>
          <w:tab w:val="left" w:pos="4644"/>
          <w:tab w:val="left" w:pos="5546"/>
          <w:tab w:val="left" w:pos="6076"/>
          <w:tab w:val="left" w:pos="6601"/>
          <w:tab w:val="left" w:pos="7335"/>
          <w:tab w:val="left" w:pos="8434"/>
          <w:tab w:val="left" w:pos="9105"/>
          <w:tab w:val="left" w:pos="10169"/>
        </w:tabs>
        <w:spacing w:before="134" w:line="228" w:lineRule="auto"/>
        <w:ind w:right="244"/>
        <w:jc w:val="left"/>
        <w:rPr>
          <w:sz w:val="18"/>
        </w:rPr>
      </w:pPr>
      <w:proofErr w:type="spellStart"/>
      <w:r>
        <w:rPr>
          <w:sz w:val="18"/>
        </w:rPr>
        <w:t>Better</w:t>
      </w:r>
      <w:proofErr w:type="spellEnd"/>
      <w:r>
        <w:rPr>
          <w:sz w:val="18"/>
        </w:rPr>
        <w:t xml:space="preserve"> doctors, </w:t>
      </w:r>
      <w:proofErr w:type="spellStart"/>
      <w:r>
        <w:rPr>
          <w:sz w:val="18"/>
        </w:rPr>
        <w:t>better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patients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better</w:t>
      </w:r>
      <w:proofErr w:type="spellEnd"/>
      <w:r>
        <w:rPr>
          <w:sz w:val="18"/>
        </w:rPr>
        <w:t xml:space="preserve"> decisions. </w:t>
      </w:r>
      <w:proofErr w:type="spellStart"/>
      <w:r>
        <w:rPr>
          <w:sz w:val="18"/>
        </w:rPr>
        <w:t>Envisioning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health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care</w:t>
      </w:r>
      <w:proofErr w:type="spellEnd"/>
      <w:r>
        <w:rPr>
          <w:sz w:val="18"/>
        </w:rPr>
        <w:t xml:space="preserve"> 2010. </w:t>
      </w:r>
      <w:proofErr w:type="spellStart"/>
      <w:r>
        <w:rPr>
          <w:sz w:val="18"/>
        </w:rPr>
        <w:t>Gigerzenzer</w:t>
      </w:r>
      <w:proofErr w:type="spellEnd"/>
      <w:r>
        <w:rPr>
          <w:sz w:val="18"/>
        </w:rPr>
        <w:t xml:space="preserve"> H, </w:t>
      </w:r>
      <w:proofErr w:type="spellStart"/>
      <w:r>
        <w:rPr>
          <w:sz w:val="18"/>
        </w:rPr>
        <w:t>Muir</w:t>
      </w:r>
      <w:proofErr w:type="spellEnd"/>
      <w:r>
        <w:rPr>
          <w:sz w:val="18"/>
        </w:rPr>
        <w:t xml:space="preserve"> JA </w:t>
      </w:r>
      <w:r>
        <w:rPr>
          <w:spacing w:val="-2"/>
          <w:sz w:val="18"/>
        </w:rPr>
        <w:t>editor.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Strüngmann</w:t>
      </w:r>
      <w:proofErr w:type="spellEnd"/>
      <w:r>
        <w:rPr>
          <w:sz w:val="18"/>
        </w:rPr>
        <w:tab/>
      </w:r>
      <w:proofErr w:type="spellStart"/>
      <w:r>
        <w:rPr>
          <w:spacing w:val="-4"/>
          <w:sz w:val="18"/>
        </w:rPr>
        <w:t>Forum</w:t>
      </w:r>
      <w:proofErr w:type="spellEnd"/>
      <w:r>
        <w:rPr>
          <w:sz w:val="18"/>
        </w:rPr>
        <w:tab/>
      </w:r>
      <w:r>
        <w:rPr>
          <w:spacing w:val="-2"/>
          <w:sz w:val="18"/>
        </w:rPr>
        <w:t>Reports.</w:t>
      </w:r>
      <w:r>
        <w:rPr>
          <w:sz w:val="18"/>
        </w:rPr>
        <w:tab/>
      </w:r>
      <w:proofErr w:type="spellStart"/>
      <w:r>
        <w:rPr>
          <w:spacing w:val="-4"/>
          <w:sz w:val="18"/>
        </w:rPr>
        <w:t>The</w:t>
      </w:r>
      <w:proofErr w:type="spellEnd"/>
      <w:r>
        <w:rPr>
          <w:sz w:val="18"/>
        </w:rPr>
        <w:tab/>
      </w:r>
      <w:r>
        <w:rPr>
          <w:spacing w:val="-4"/>
          <w:sz w:val="18"/>
        </w:rPr>
        <w:t>MIT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Press</w:t>
      </w:r>
      <w:proofErr w:type="spellEnd"/>
      <w:r>
        <w:rPr>
          <w:spacing w:val="-2"/>
          <w:sz w:val="18"/>
        </w:rPr>
        <w:t>.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Cambridge</w:t>
      </w:r>
      <w:proofErr w:type="spellEnd"/>
      <w:r>
        <w:rPr>
          <w:sz w:val="18"/>
        </w:rPr>
        <w:tab/>
      </w:r>
      <w:r>
        <w:rPr>
          <w:spacing w:val="-2"/>
          <w:sz w:val="18"/>
        </w:rPr>
        <w:t>2011.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Available</w:t>
      </w:r>
      <w:proofErr w:type="spellEnd"/>
      <w:r>
        <w:rPr>
          <w:sz w:val="18"/>
        </w:rPr>
        <w:tab/>
      </w:r>
      <w:proofErr w:type="spellStart"/>
      <w:r>
        <w:rPr>
          <w:spacing w:val="-6"/>
          <w:sz w:val="18"/>
        </w:rPr>
        <w:t>at</w:t>
      </w:r>
      <w:proofErr w:type="spellEnd"/>
      <w:r>
        <w:rPr>
          <w:spacing w:val="-6"/>
          <w:sz w:val="18"/>
        </w:rPr>
        <w:t xml:space="preserve">: </w:t>
      </w:r>
      <w:hyperlink r:id="rId17">
        <w:r>
          <w:rPr>
            <w:color w:val="448192"/>
            <w:spacing w:val="-2"/>
            <w:sz w:val="18"/>
          </w:rPr>
          <w:t>http:</w:t>
        </w:r>
      </w:hyperlink>
      <w:r>
        <w:rPr>
          <w:color w:val="448192"/>
          <w:spacing w:val="40"/>
          <w:sz w:val="18"/>
        </w:rPr>
        <w:t xml:space="preserve">//www.dltobe.com/ebooks/112593-Better-Doctors-Better-Patients-Better- </w:t>
      </w:r>
      <w:hyperlink r:id="rId18">
        <w:r>
          <w:rPr>
            <w:color w:val="448192"/>
            <w:spacing w:val="-2"/>
            <w:sz w:val="18"/>
          </w:rPr>
          <w:t>DecisionsEnvisioningHealth-Care-2020.html.</w:t>
        </w:r>
      </w:hyperlink>
    </w:p>
    <w:p w14:paraId="65A6C558" w14:textId="77777777" w:rsidR="00D81746" w:rsidRDefault="00D81746">
      <w:pPr>
        <w:pStyle w:val="BodyText"/>
        <w:rPr>
          <w:sz w:val="18"/>
        </w:rPr>
      </w:pPr>
    </w:p>
    <w:p w14:paraId="49EDB1BC" w14:textId="77777777" w:rsidR="00D81746" w:rsidRDefault="00D81746">
      <w:pPr>
        <w:pStyle w:val="BodyText"/>
        <w:spacing w:before="32"/>
        <w:rPr>
          <w:sz w:val="18"/>
        </w:rPr>
      </w:pPr>
    </w:p>
    <w:p w14:paraId="3EC8614C" w14:textId="77777777" w:rsidR="00D81746" w:rsidRDefault="00000000">
      <w:pPr>
        <w:pStyle w:val="Heading1"/>
      </w:pPr>
      <w:bookmarkStart w:id="5" w:name="Enllaços_d’interès_"/>
      <w:bookmarkEnd w:id="5"/>
      <w:r>
        <w:rPr>
          <w:color w:val="2C5560"/>
        </w:rPr>
        <w:t xml:space="preserve">Links </w:t>
      </w:r>
      <w:r>
        <w:rPr>
          <w:color w:val="2C5560"/>
          <w:spacing w:val="-2"/>
        </w:rPr>
        <w:t xml:space="preserve">of </w:t>
      </w:r>
      <w:proofErr w:type="spellStart"/>
      <w:r>
        <w:rPr>
          <w:color w:val="2C5560"/>
          <w:spacing w:val="-2"/>
        </w:rPr>
        <w:t>interest</w:t>
      </w:r>
      <w:proofErr w:type="spellEnd"/>
    </w:p>
    <w:p w14:paraId="28497EF2" w14:textId="77777777" w:rsidR="00D81746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270" w:line="206" w:lineRule="auto"/>
        <w:ind w:right="729"/>
        <w:jc w:val="left"/>
        <w:rPr>
          <w:sz w:val="18"/>
        </w:rPr>
      </w:pPr>
      <w:proofErr w:type="spellStart"/>
      <w:r>
        <w:rPr>
          <w:sz w:val="18"/>
        </w:rPr>
        <w:t>Prostate-specific</w:t>
      </w:r>
      <w:proofErr w:type="spellEnd"/>
      <w:r>
        <w:rPr>
          <w:sz w:val="18"/>
        </w:rPr>
        <w:t xml:space="preserve"> antigen test. </w:t>
      </w:r>
      <w:proofErr w:type="spellStart"/>
      <w:r>
        <w:rPr>
          <w:sz w:val="18"/>
        </w:rPr>
        <w:t>National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Cancer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Institute</w:t>
      </w:r>
      <w:proofErr w:type="spellEnd"/>
      <w:r>
        <w:rPr>
          <w:sz w:val="18"/>
        </w:rPr>
        <w:t>, USA (</w:t>
      </w:r>
      <w:proofErr w:type="spellStart"/>
      <w:r>
        <w:rPr>
          <w:sz w:val="18"/>
        </w:rPr>
        <w:t>information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Spanish</w:t>
      </w:r>
      <w:proofErr w:type="spellEnd"/>
      <w:r>
        <w:rPr>
          <w:sz w:val="18"/>
        </w:rPr>
        <w:t xml:space="preserve">). </w:t>
      </w:r>
      <w:proofErr w:type="spellStart"/>
      <w:r>
        <w:rPr>
          <w:sz w:val="18"/>
        </w:rPr>
        <w:t>Available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: </w:t>
      </w:r>
      <w:hyperlink r:id="rId19">
        <w:r>
          <w:rPr>
            <w:color w:val="448192"/>
            <w:sz w:val="18"/>
          </w:rPr>
          <w:t>https://www.cancer.gov/espanol/tipos/prostata/hoja-informativa-psa</w:t>
        </w:r>
      </w:hyperlink>
    </w:p>
    <w:p w14:paraId="2697D7B1" w14:textId="77777777" w:rsidR="00D81746" w:rsidRDefault="00D81746">
      <w:pPr>
        <w:pStyle w:val="BodyText"/>
      </w:pPr>
    </w:p>
    <w:p w14:paraId="2A3A699C" w14:textId="77777777" w:rsidR="00D81746" w:rsidRDefault="00D81746">
      <w:pPr>
        <w:pStyle w:val="BodyText"/>
      </w:pPr>
    </w:p>
    <w:p w14:paraId="1DF24404" w14:textId="77777777" w:rsidR="00D81746" w:rsidRDefault="00D81746">
      <w:pPr>
        <w:pStyle w:val="BodyText"/>
      </w:pPr>
    </w:p>
    <w:p w14:paraId="722805B9" w14:textId="77777777" w:rsidR="00D81746" w:rsidRDefault="00D81746">
      <w:pPr>
        <w:pStyle w:val="BodyText"/>
      </w:pPr>
    </w:p>
    <w:p w14:paraId="047073DC" w14:textId="77777777" w:rsidR="00D81746" w:rsidRDefault="00D81746">
      <w:pPr>
        <w:pStyle w:val="BodyText"/>
      </w:pPr>
    </w:p>
    <w:p w14:paraId="691976E4" w14:textId="77777777" w:rsidR="00D81746" w:rsidRDefault="00D81746">
      <w:pPr>
        <w:pStyle w:val="BodyText"/>
      </w:pPr>
    </w:p>
    <w:p w14:paraId="10F2FCF8" w14:textId="77777777" w:rsidR="00D81746" w:rsidRDefault="00D81746">
      <w:pPr>
        <w:pStyle w:val="BodyText"/>
      </w:pPr>
    </w:p>
    <w:p w14:paraId="54DF7E66" w14:textId="77777777" w:rsidR="00D81746" w:rsidRDefault="00D81746">
      <w:pPr>
        <w:pStyle w:val="BodyText"/>
      </w:pPr>
    </w:p>
    <w:p w14:paraId="1D00F3C3" w14:textId="77777777" w:rsidR="00D81746" w:rsidRDefault="00D81746">
      <w:pPr>
        <w:pStyle w:val="BodyText"/>
      </w:pPr>
    </w:p>
    <w:p w14:paraId="4894381C" w14:textId="77777777" w:rsidR="00D81746" w:rsidRDefault="00D81746">
      <w:pPr>
        <w:pStyle w:val="BodyText"/>
      </w:pPr>
    </w:p>
    <w:p w14:paraId="793973D1" w14:textId="77777777" w:rsidR="00D81746" w:rsidRDefault="00D81746">
      <w:pPr>
        <w:pStyle w:val="BodyText"/>
      </w:pPr>
    </w:p>
    <w:p w14:paraId="2C1D1D7A" w14:textId="77777777" w:rsidR="00D81746" w:rsidRDefault="00D81746">
      <w:pPr>
        <w:pStyle w:val="BodyText"/>
      </w:pPr>
    </w:p>
    <w:p w14:paraId="7400913B" w14:textId="77777777" w:rsidR="00D81746" w:rsidRDefault="00D81746">
      <w:pPr>
        <w:pStyle w:val="BodyText"/>
      </w:pPr>
    </w:p>
    <w:p w14:paraId="54D08250" w14:textId="77777777" w:rsidR="00D81746" w:rsidRDefault="00D81746">
      <w:pPr>
        <w:pStyle w:val="BodyText"/>
      </w:pPr>
    </w:p>
    <w:p w14:paraId="5E2416E5" w14:textId="77777777" w:rsidR="00D81746" w:rsidRDefault="00D81746">
      <w:pPr>
        <w:pStyle w:val="BodyText"/>
      </w:pPr>
    </w:p>
    <w:p w14:paraId="298F353F" w14:textId="77777777" w:rsidR="00D81746" w:rsidRDefault="00D81746">
      <w:pPr>
        <w:pStyle w:val="BodyText"/>
      </w:pPr>
    </w:p>
    <w:p w14:paraId="75FA747F" w14:textId="77777777" w:rsidR="00D81746" w:rsidRDefault="00D81746">
      <w:pPr>
        <w:pStyle w:val="BodyText"/>
      </w:pPr>
    </w:p>
    <w:p w14:paraId="24541856" w14:textId="77777777" w:rsidR="00D81746" w:rsidRDefault="00D81746">
      <w:pPr>
        <w:pStyle w:val="BodyText"/>
      </w:pPr>
    </w:p>
    <w:p w14:paraId="493659CF" w14:textId="77777777" w:rsidR="00D81746" w:rsidRDefault="00D81746">
      <w:pPr>
        <w:pStyle w:val="BodyText"/>
      </w:pPr>
    </w:p>
    <w:p w14:paraId="45202760" w14:textId="77777777" w:rsidR="00D81746" w:rsidRDefault="00D81746">
      <w:pPr>
        <w:pStyle w:val="BodyText"/>
      </w:pPr>
    </w:p>
    <w:p w14:paraId="7D936B28" w14:textId="77777777" w:rsidR="00D81746" w:rsidRDefault="00D81746">
      <w:pPr>
        <w:pStyle w:val="BodyText"/>
      </w:pPr>
    </w:p>
    <w:p w14:paraId="1B82E335" w14:textId="77777777" w:rsidR="00D81746" w:rsidRDefault="00D81746">
      <w:pPr>
        <w:pStyle w:val="BodyText"/>
      </w:pPr>
    </w:p>
    <w:p w14:paraId="07531D88" w14:textId="77777777" w:rsidR="00D81746" w:rsidRDefault="00D81746">
      <w:pPr>
        <w:pStyle w:val="BodyText"/>
      </w:pPr>
    </w:p>
    <w:p w14:paraId="1AA0A381" w14:textId="77777777" w:rsidR="00D81746" w:rsidRDefault="00D81746">
      <w:pPr>
        <w:pStyle w:val="BodyText"/>
      </w:pPr>
    </w:p>
    <w:p w14:paraId="1FAD4F14" w14:textId="77777777" w:rsidR="00D81746" w:rsidRDefault="00000000">
      <w:pPr>
        <w:pStyle w:val="BodyText"/>
        <w:spacing w:before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230BED" wp14:editId="4F8D269D">
                <wp:simplePos x="0" y="0"/>
                <wp:positionH relativeFrom="page">
                  <wp:posOffset>1155496</wp:posOffset>
                </wp:positionH>
                <wp:positionV relativeFrom="paragraph">
                  <wp:posOffset>235633</wp:posOffset>
                </wp:positionV>
                <wp:extent cx="5490845" cy="65786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6578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D021A4" w14:textId="77777777" w:rsidR="00D81746" w:rsidRDefault="00000000">
                            <w:pPr>
                              <w:spacing w:before="80" w:line="244" w:lineRule="auto"/>
                              <w:ind w:left="79" w:right="135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16"/>
                              </w:rPr>
                              <w:t xml:space="preserve">Essencial </w:t>
                            </w:r>
                            <w:r>
                              <w:rPr>
                                <w:color w:val="585858"/>
                                <w:sz w:val="16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initiative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identifies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clinical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practices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low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value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promotes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recommendations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avoid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them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>.</w:t>
                            </w:r>
                          </w:p>
                          <w:p w14:paraId="0BA77390" w14:textId="77777777" w:rsidR="00D81746" w:rsidRDefault="00000000">
                            <w:pPr>
                              <w:spacing w:before="54"/>
                              <w:ind w:left="79" w:right="135"/>
                              <w:rPr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would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receive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more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information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project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: </w:t>
                            </w:r>
                            <w:hyperlink r:id="rId20">
                              <w:r>
                                <w:rPr>
                                  <w:color w:val="448192"/>
                                  <w:sz w:val="16"/>
                                </w:rPr>
                                <w:t>essencial.salut@gencat.cat</w:t>
                              </w:r>
                            </w:hyperlink>
                            <w:r>
                              <w:rPr>
                                <w:color w:val="585858"/>
                                <w:sz w:val="16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visit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585858"/>
                                <w:sz w:val="16"/>
                              </w:rPr>
                              <w:t xml:space="preserve"> web: </w:t>
                            </w:r>
                            <w:hyperlink r:id="rId21">
                              <w:r>
                                <w:rPr>
                                  <w:color w:val="448192"/>
                                  <w:spacing w:val="-2"/>
                                  <w:sz w:val="16"/>
                                </w:rPr>
                                <w:t>http://essencialsalut.gencat.cat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30BED" id="Textbox 13" o:spid="_x0000_s1032" type="#_x0000_t202" style="position:absolute;margin-left:91pt;margin-top:18.55pt;width:432.35pt;height:51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" fillcolor="#f1f1f1" strokecolor="#a6a6a6" strokeweight=".48pt">
                <v:path arrowok="t"/>
                <v:textbox inset="0,0,0,0">
                  <w:txbxContent>
                    <w:p w14:paraId="40D021A4" w14:textId="77777777" w:rsidR="00D81746" w:rsidRDefault="00000000">
                      <w:pPr>
                        <w:spacing w:before="80" w:line="244" w:lineRule="auto"/>
                        <w:ind w:left="79" w:right="135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585858"/>
                          <w:sz w:val="16"/>
                        </w:rPr>
                        <w:t xml:space="preserve">Essencial </w:t>
                      </w:r>
                      <w:r>
                        <w:rPr>
                          <w:color w:val="585858"/>
                          <w:sz w:val="16"/>
                        </w:rPr>
                        <w:t xml:space="preserve">is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an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initiative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that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identifies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clinical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practices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low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value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and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promotes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recommendations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1"/>
                          <w:sz w:val="16"/>
                        </w:rPr>
                        <w:t xml:space="preserve">to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avoid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them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>.</w:t>
                      </w:r>
                    </w:p>
                    <w:p w14:paraId="0BA77390" w14:textId="77777777" w:rsidR="00D81746" w:rsidRDefault="00000000">
                      <w:pPr>
                        <w:spacing w:before="54"/>
                        <w:ind w:left="79" w:right="135"/>
                        <w:rPr>
                          <w:color w:val="000000"/>
                          <w:sz w:val="16"/>
                        </w:rPr>
                      </w:pPr>
                      <w:proofErr w:type="spellStart"/>
                      <w:r>
                        <w:rPr>
                          <w:color w:val="585858"/>
                          <w:sz w:val="16"/>
                        </w:rPr>
                        <w:t>If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you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would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like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to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receive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more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information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about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the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project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please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contact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: </w:t>
                      </w:r>
                      <w:hyperlink r:id="rId22">
                        <w:r>
                          <w:rPr>
                            <w:color w:val="448192"/>
                            <w:sz w:val="16"/>
                          </w:rPr>
                          <w:t>essencial.salut@gencat.cat</w:t>
                        </w:r>
                      </w:hyperlink>
                      <w:r>
                        <w:rPr>
                          <w:color w:val="585858"/>
                          <w:sz w:val="16"/>
                        </w:rPr>
                        <w:t xml:space="preserve"> or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visit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z w:val="16"/>
                        </w:rPr>
                        <w:t>the</w:t>
                      </w:r>
                      <w:proofErr w:type="spellEnd"/>
                      <w:r>
                        <w:rPr>
                          <w:color w:val="585858"/>
                          <w:sz w:val="16"/>
                        </w:rPr>
                        <w:t xml:space="preserve"> web: </w:t>
                      </w:r>
                      <w:hyperlink r:id="rId23">
                        <w:r>
                          <w:rPr>
                            <w:color w:val="448192"/>
                            <w:spacing w:val="-2"/>
                            <w:sz w:val="16"/>
                          </w:rPr>
                          <w:t>http://essencialsalut.gencat.cat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1746">
      <w:pgSz w:w="11910" w:h="16840"/>
      <w:pgMar w:top="1600" w:right="1340" w:bottom="1200" w:left="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25FB" w14:textId="77777777" w:rsidR="008D53D4" w:rsidRDefault="008D53D4">
      <w:r>
        <w:separator/>
      </w:r>
    </w:p>
  </w:endnote>
  <w:endnote w:type="continuationSeparator" w:id="0">
    <w:p w14:paraId="113FFFBE" w14:textId="77777777" w:rsidR="008D53D4" w:rsidRDefault="008D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9B98" w14:textId="77777777" w:rsidR="00D81746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96192" behindDoc="1" locked="0" layoutInCell="1" allowOverlap="1" wp14:anchorId="461004CD" wp14:editId="6F9513CC">
          <wp:simplePos x="0" y="0"/>
          <wp:positionH relativeFrom="page">
            <wp:posOffset>5148579</wp:posOffset>
          </wp:positionH>
          <wp:positionV relativeFrom="page">
            <wp:posOffset>10078097</wp:posOffset>
          </wp:positionV>
          <wp:extent cx="1325879" cy="33210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879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6704" behindDoc="1" locked="0" layoutInCell="1" allowOverlap="1" wp14:anchorId="45256575" wp14:editId="46B20628">
          <wp:simplePos x="0" y="0"/>
          <wp:positionH relativeFrom="page">
            <wp:posOffset>1080135</wp:posOffset>
          </wp:positionH>
          <wp:positionV relativeFrom="page">
            <wp:posOffset>10078097</wp:posOffset>
          </wp:positionV>
          <wp:extent cx="1393825" cy="3111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3825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7216" behindDoc="1" locked="0" layoutInCell="1" allowOverlap="1" wp14:anchorId="36A2FF67" wp14:editId="262CE836">
          <wp:simplePos x="0" y="0"/>
          <wp:positionH relativeFrom="page">
            <wp:posOffset>2880360</wp:posOffset>
          </wp:positionH>
          <wp:positionV relativeFrom="page">
            <wp:posOffset>10078097</wp:posOffset>
          </wp:positionV>
          <wp:extent cx="1414780" cy="31115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478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23D538A2" wp14:editId="45EA7099">
              <wp:simplePos x="0" y="0"/>
              <wp:positionH relativeFrom="page">
                <wp:posOffset>5209413</wp:posOffset>
              </wp:positionH>
              <wp:positionV relativeFrom="page">
                <wp:posOffset>9915452</wp:posOffset>
              </wp:positionV>
              <wp:extent cx="602615" cy="1111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5206E" w14:textId="77777777" w:rsidR="00D81746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12"/>
                            </w:rPr>
                            <w:t>With</w:t>
                          </w:r>
                          <w:proofErr w:type="spellEnd"/>
                          <w:r>
                            <w:rPr>
                              <w:color w:val="80808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2"/>
                            </w:rPr>
                            <w:t>the</w:t>
                          </w:r>
                          <w:proofErr w:type="spellEnd"/>
                          <w:r>
                            <w:rPr>
                              <w:color w:val="80808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2"/>
                            </w:rPr>
                            <w:t>support</w:t>
                          </w:r>
                          <w:proofErr w:type="spellEnd"/>
                          <w:r>
                            <w:rPr>
                              <w:color w:val="80808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sz w:val="12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538A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410.2pt;margin-top:780.75pt;width:47.45pt;height:8.7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" filled="f" stroked="f">
              <v:textbox inset="0,0,0,0">
                <w:txbxContent>
                  <w:p w14:paraId="2825206E" w14:textId="77777777" w:rsidR="00D81746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808080"/>
                        <w:sz w:val="12"/>
                      </w:rPr>
                      <w:t>With</w:t>
                    </w:r>
                    <w:proofErr w:type="spellEnd"/>
                    <w:r>
                      <w:rPr>
                        <w:color w:val="80808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2"/>
                      </w:rPr>
                      <w:t>the</w:t>
                    </w:r>
                    <w:proofErr w:type="spellEnd"/>
                    <w:r>
                      <w:rPr>
                        <w:color w:val="80808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2"/>
                      </w:rPr>
                      <w:t>support</w:t>
                    </w:r>
                    <w:proofErr w:type="spellEnd"/>
                    <w:r>
                      <w:rPr>
                        <w:color w:val="80808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sz w:val="12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7C48" w14:textId="77777777" w:rsidR="008D53D4" w:rsidRDefault="008D53D4">
      <w:r>
        <w:separator/>
      </w:r>
    </w:p>
  </w:footnote>
  <w:footnote w:type="continuationSeparator" w:id="0">
    <w:p w14:paraId="142AEE31" w14:textId="77777777" w:rsidR="008D53D4" w:rsidRDefault="008D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27D2" w14:textId="77777777" w:rsidR="00D81746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95680" behindDoc="1" locked="0" layoutInCell="1" allowOverlap="1" wp14:anchorId="7674CA58" wp14:editId="798388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7226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241"/>
    <w:multiLevelType w:val="hybridMultilevel"/>
    <w:tmpl w:val="AC34C0EC"/>
    <w:lvl w:ilvl="0" w:tplc="B91A97EE">
      <w:numFmt w:val="bullet"/>
      <w:lvlText w:val="•"/>
      <w:lvlJc w:val="left"/>
      <w:pPr>
        <w:ind w:left="2059" w:hanging="358"/>
      </w:pPr>
      <w:rPr>
        <w:rFonts w:ascii="Calibri" w:eastAsia="Calibri" w:hAnsi="Calibri" w:cs="Calibri" w:hint="default"/>
        <w:b w:val="0"/>
        <w:bCs w:val="0"/>
        <w:i w:val="0"/>
        <w:iCs w:val="0"/>
        <w:color w:val="448192"/>
        <w:spacing w:val="0"/>
        <w:w w:val="91"/>
        <w:sz w:val="20"/>
        <w:szCs w:val="20"/>
        <w:lang w:val="ca-ES" w:eastAsia="en-US" w:bidi="ar-SA"/>
      </w:rPr>
    </w:lvl>
    <w:lvl w:ilvl="1" w:tplc="010C863E">
      <w:numFmt w:val="bullet"/>
      <w:lvlText w:val="•"/>
      <w:lvlJc w:val="left"/>
      <w:pPr>
        <w:ind w:left="2910" w:hanging="358"/>
      </w:pPr>
      <w:rPr>
        <w:rFonts w:hint="default"/>
        <w:lang w:val="ca-ES" w:eastAsia="en-US" w:bidi="ar-SA"/>
      </w:rPr>
    </w:lvl>
    <w:lvl w:ilvl="2" w:tplc="673E41CE">
      <w:numFmt w:val="bullet"/>
      <w:lvlText w:val="•"/>
      <w:lvlJc w:val="left"/>
      <w:pPr>
        <w:ind w:left="3761" w:hanging="358"/>
      </w:pPr>
      <w:rPr>
        <w:rFonts w:hint="default"/>
        <w:lang w:val="ca-ES" w:eastAsia="en-US" w:bidi="ar-SA"/>
      </w:rPr>
    </w:lvl>
    <w:lvl w:ilvl="3" w:tplc="0C880FF0">
      <w:numFmt w:val="bullet"/>
      <w:lvlText w:val="•"/>
      <w:lvlJc w:val="left"/>
      <w:pPr>
        <w:ind w:left="4611" w:hanging="358"/>
      </w:pPr>
      <w:rPr>
        <w:rFonts w:hint="default"/>
        <w:lang w:val="ca-ES" w:eastAsia="en-US" w:bidi="ar-SA"/>
      </w:rPr>
    </w:lvl>
    <w:lvl w:ilvl="4" w:tplc="B022A6BC">
      <w:numFmt w:val="bullet"/>
      <w:lvlText w:val="•"/>
      <w:lvlJc w:val="left"/>
      <w:pPr>
        <w:ind w:left="5462" w:hanging="358"/>
      </w:pPr>
      <w:rPr>
        <w:rFonts w:hint="default"/>
        <w:lang w:val="ca-ES" w:eastAsia="en-US" w:bidi="ar-SA"/>
      </w:rPr>
    </w:lvl>
    <w:lvl w:ilvl="5" w:tplc="291A5206">
      <w:numFmt w:val="bullet"/>
      <w:lvlText w:val="•"/>
      <w:lvlJc w:val="left"/>
      <w:pPr>
        <w:ind w:left="6313" w:hanging="358"/>
      </w:pPr>
      <w:rPr>
        <w:rFonts w:hint="default"/>
        <w:lang w:val="ca-ES" w:eastAsia="en-US" w:bidi="ar-SA"/>
      </w:rPr>
    </w:lvl>
    <w:lvl w:ilvl="6" w:tplc="0EBCB596">
      <w:numFmt w:val="bullet"/>
      <w:lvlText w:val="•"/>
      <w:lvlJc w:val="left"/>
      <w:pPr>
        <w:ind w:left="7163" w:hanging="358"/>
      </w:pPr>
      <w:rPr>
        <w:rFonts w:hint="default"/>
        <w:lang w:val="ca-ES" w:eastAsia="en-US" w:bidi="ar-SA"/>
      </w:rPr>
    </w:lvl>
    <w:lvl w:ilvl="7" w:tplc="CA6623E2">
      <w:numFmt w:val="bullet"/>
      <w:lvlText w:val="•"/>
      <w:lvlJc w:val="left"/>
      <w:pPr>
        <w:ind w:left="8014" w:hanging="358"/>
      </w:pPr>
      <w:rPr>
        <w:rFonts w:hint="default"/>
        <w:lang w:val="ca-ES" w:eastAsia="en-US" w:bidi="ar-SA"/>
      </w:rPr>
    </w:lvl>
    <w:lvl w:ilvl="8" w:tplc="F912EBF0">
      <w:numFmt w:val="bullet"/>
      <w:lvlText w:val="•"/>
      <w:lvlJc w:val="left"/>
      <w:pPr>
        <w:ind w:left="8865" w:hanging="358"/>
      </w:pPr>
      <w:rPr>
        <w:rFonts w:hint="default"/>
        <w:lang w:val="ca-ES" w:eastAsia="en-US" w:bidi="ar-SA"/>
      </w:rPr>
    </w:lvl>
  </w:abstractNum>
  <w:abstractNum w:abstractNumId="1" w15:restartNumberingAfterBreak="0">
    <w:nsid w:val="35AC45D5"/>
    <w:multiLevelType w:val="hybridMultilevel"/>
    <w:tmpl w:val="6B6A59F4"/>
    <w:lvl w:ilvl="0" w:tplc="3F18F410">
      <w:numFmt w:val="bullet"/>
      <w:lvlText w:val="-"/>
      <w:lvlJc w:val="left"/>
      <w:pPr>
        <w:ind w:left="1985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6A6B8"/>
        <w:spacing w:val="0"/>
        <w:w w:val="100"/>
        <w:sz w:val="24"/>
        <w:szCs w:val="24"/>
        <w:lang w:val="ca-ES" w:eastAsia="en-US" w:bidi="ar-SA"/>
      </w:rPr>
    </w:lvl>
    <w:lvl w:ilvl="1" w:tplc="8C284EA6">
      <w:numFmt w:val="bullet"/>
      <w:lvlText w:val="•"/>
      <w:lvlJc w:val="left"/>
      <w:pPr>
        <w:ind w:left="2838" w:hanging="284"/>
      </w:pPr>
      <w:rPr>
        <w:rFonts w:hint="default"/>
        <w:lang w:val="ca-ES" w:eastAsia="en-US" w:bidi="ar-SA"/>
      </w:rPr>
    </w:lvl>
    <w:lvl w:ilvl="2" w:tplc="B790A31A">
      <w:numFmt w:val="bullet"/>
      <w:lvlText w:val="•"/>
      <w:lvlJc w:val="left"/>
      <w:pPr>
        <w:ind w:left="3697" w:hanging="284"/>
      </w:pPr>
      <w:rPr>
        <w:rFonts w:hint="default"/>
        <w:lang w:val="ca-ES" w:eastAsia="en-US" w:bidi="ar-SA"/>
      </w:rPr>
    </w:lvl>
    <w:lvl w:ilvl="3" w:tplc="B6AEC53E">
      <w:numFmt w:val="bullet"/>
      <w:lvlText w:val="•"/>
      <w:lvlJc w:val="left"/>
      <w:pPr>
        <w:ind w:left="4555" w:hanging="284"/>
      </w:pPr>
      <w:rPr>
        <w:rFonts w:hint="default"/>
        <w:lang w:val="ca-ES" w:eastAsia="en-US" w:bidi="ar-SA"/>
      </w:rPr>
    </w:lvl>
    <w:lvl w:ilvl="4" w:tplc="61A0B3EA">
      <w:numFmt w:val="bullet"/>
      <w:lvlText w:val="•"/>
      <w:lvlJc w:val="left"/>
      <w:pPr>
        <w:ind w:left="5414" w:hanging="284"/>
      </w:pPr>
      <w:rPr>
        <w:rFonts w:hint="default"/>
        <w:lang w:val="ca-ES" w:eastAsia="en-US" w:bidi="ar-SA"/>
      </w:rPr>
    </w:lvl>
    <w:lvl w:ilvl="5" w:tplc="AA981D6E">
      <w:numFmt w:val="bullet"/>
      <w:lvlText w:val="•"/>
      <w:lvlJc w:val="left"/>
      <w:pPr>
        <w:ind w:left="6273" w:hanging="284"/>
      </w:pPr>
      <w:rPr>
        <w:rFonts w:hint="default"/>
        <w:lang w:val="ca-ES" w:eastAsia="en-US" w:bidi="ar-SA"/>
      </w:rPr>
    </w:lvl>
    <w:lvl w:ilvl="6" w:tplc="512C89C8">
      <w:numFmt w:val="bullet"/>
      <w:lvlText w:val="•"/>
      <w:lvlJc w:val="left"/>
      <w:pPr>
        <w:ind w:left="7131" w:hanging="284"/>
      </w:pPr>
      <w:rPr>
        <w:rFonts w:hint="default"/>
        <w:lang w:val="ca-ES" w:eastAsia="en-US" w:bidi="ar-SA"/>
      </w:rPr>
    </w:lvl>
    <w:lvl w:ilvl="7" w:tplc="4C0A8598">
      <w:numFmt w:val="bullet"/>
      <w:lvlText w:val="•"/>
      <w:lvlJc w:val="left"/>
      <w:pPr>
        <w:ind w:left="7990" w:hanging="284"/>
      </w:pPr>
      <w:rPr>
        <w:rFonts w:hint="default"/>
        <w:lang w:val="ca-ES" w:eastAsia="en-US" w:bidi="ar-SA"/>
      </w:rPr>
    </w:lvl>
    <w:lvl w:ilvl="8" w:tplc="B3E6FB4C">
      <w:numFmt w:val="bullet"/>
      <w:lvlText w:val="•"/>
      <w:lvlJc w:val="left"/>
      <w:pPr>
        <w:ind w:left="8849" w:hanging="284"/>
      </w:pPr>
      <w:rPr>
        <w:rFonts w:hint="default"/>
        <w:lang w:val="ca-ES" w:eastAsia="en-US" w:bidi="ar-SA"/>
      </w:rPr>
    </w:lvl>
  </w:abstractNum>
  <w:num w:numId="1" w16cid:durableId="1483886825">
    <w:abstractNumId w:val="1"/>
  </w:num>
  <w:num w:numId="2" w16cid:durableId="195297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46"/>
    <w:rsid w:val="007E11B0"/>
    <w:rsid w:val="008D53D4"/>
    <w:rsid w:val="00D81746"/>
    <w:rsid w:val="00E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55CE"/>
  <w15:docId w15:val="{1639A7E6-CDC4-45A8-B0DD-D3DC3818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Heading1">
    <w:name w:val="heading 1"/>
    <w:basedOn w:val="Normal"/>
    <w:uiPriority w:val="9"/>
    <w:qFormat/>
    <w:pPr>
      <w:ind w:left="17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1814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9"/>
      <w:ind w:left="1985" w:right="364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nnals.org/aim/fullarticle/1216568/screening-prostate-cancer-us-preventive-services-task-force-recommendation" TargetMode="External"/><Relationship Id="rId18" Type="http://schemas.openxmlformats.org/officeDocument/2006/relationships/hyperlink" Target="http://www.dltobe.com/ebooks/112593-Better-Doctors-Better-Patients-Better-DecisionsEnvisioningHealth-Care-2020.html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essencialsalut.gencat.cat/" TargetMode="External"/><Relationship Id="rId7" Type="http://schemas.openxmlformats.org/officeDocument/2006/relationships/header" Target="header1.xml"/><Relationship Id="rId12" Type="http://schemas.openxmlformats.org/officeDocument/2006/relationships/hyperlink" Target="http://annals.org/aim/fullarticle/1216568/screening-prostate-cancer-us-preventive-services-task-force-recommendation" TargetMode="External"/><Relationship Id="rId17" Type="http://schemas.openxmlformats.org/officeDocument/2006/relationships/hyperlink" Target="http://www.dltobe.com/ebooks/112593-Better-Doctors-Better-Patients-Better-DecisionsEnvisioningHealth-Care-2020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ejm.org/doi/full/10.1056/NEJMe1200185" TargetMode="External"/><Relationship Id="rId20" Type="http://schemas.openxmlformats.org/officeDocument/2006/relationships/hyperlink" Target="mailto:essencial.salut@gencat.c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chranelibrary.com/cdsr/doi/10.1002/14651858.CD004720.pub3/ful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PSAbased%2Bscreening%2Bfor%2Bprostate%2Bcancer.%2BToo%2Bmany%2Badverse%2Beffects" TargetMode="External"/><Relationship Id="rId23" Type="http://schemas.openxmlformats.org/officeDocument/2006/relationships/hyperlink" Target="http://essencialsalut.gencat.cat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www.guideline.gov/summaries/summary/45320" TargetMode="External"/><Relationship Id="rId19" Type="http://schemas.openxmlformats.org/officeDocument/2006/relationships/hyperlink" Target="https://www.cancer.gov/espanol/tipos/prostata/hoja-informativa-ps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ncbi.nlm.nih.gov/pubmed/?term=PSAbased%2Bscreening%2Bfor%2Bprostate%2Bcancer.%2BToo%2Bmany%2Badverse%2Beffects" TargetMode="External"/><Relationship Id="rId22" Type="http://schemas.openxmlformats.org/officeDocument/2006/relationships/hyperlink" Target="mailto:essencial.salut@gencat.cat" TargetMode="Externa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476B5067A5374487F871AB9746301D" ma:contentTypeVersion="15" ma:contentTypeDescription="Creare un nuovo documento." ma:contentTypeScope="" ma:versionID="18e3aac5c5cae8622156179dc556c24e">
  <xsd:schema xmlns:xsd="http://www.w3.org/2001/XMLSchema" xmlns:xs="http://www.w3.org/2001/XMLSchema" xmlns:p="http://schemas.microsoft.com/office/2006/metadata/properties" xmlns:ns2="ac0c1225-ea7e-4ed6-8533-8d5880978ba3" xmlns:ns3="85b20de9-c230-42dc-8ef4-3d18bd7140d8" targetNamespace="http://schemas.microsoft.com/office/2006/metadata/properties" ma:root="true" ma:fieldsID="3d2311f5faeefd8b48dcebd7eb9821da" ns2:_="" ns3:_="">
    <xsd:import namespace="ac0c1225-ea7e-4ed6-8533-8d5880978ba3"/>
    <xsd:import namespace="85b20de9-c230-42dc-8ef4-3d18bd714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1225-ea7e-4ed6-8533-8d588097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3204fe33-7521-429b-b74c-34f9e0910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20de9-c230-42dc-8ef4-3d18bd714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eaab2e-e620-4dfd-9840-4f8698e70d37}" ma:internalName="TaxCatchAll" ma:showField="CatchAllData" ma:web="85b20de9-c230-42dc-8ef4-3d18bd714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20de9-c230-42dc-8ef4-3d18bd7140d8" xsi:nil="true"/>
    <lcf76f155ced4ddcb4097134ff3c332f xmlns="ac0c1225-ea7e-4ed6-8533-8d5880978b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C7DF7-06D7-4E62-80CE-0C416A4FD940}"/>
</file>

<file path=customXml/itemProps2.xml><?xml version="1.0" encoding="utf-8"?>
<ds:datastoreItem xmlns:ds="http://schemas.openxmlformats.org/officeDocument/2006/customXml" ds:itemID="{CA92A3BC-9277-4ADF-9038-2F5284CBC607}"/>
</file>

<file path=customXml/itemProps3.xml><?xml version="1.0" encoding="utf-8"?>
<ds:datastoreItem xmlns:ds="http://schemas.openxmlformats.org/officeDocument/2006/customXml" ds:itemID="{73B6CAA6-D5D1-4BFF-990D-FE319CA15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1876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 en el cribratge de càncer de pròstata</dc:title>
  <dc:subject>Recomanació Essencial</dc:subject>
  <dc:creator>Agència de Qualitat i Avaluació Sanitàries de Catalunya</dc:creator>
  <cp:keywords>PSA, cÃ€ncer, prÃ²stata, docId:3DC5838E3B7FFCDD10AADE5A0BA8B36A</cp:keywords>
  <cp:lastModifiedBy>Christina Stangl</cp:lastModifiedBy>
  <cp:revision>2</cp:revision>
  <dcterms:created xsi:type="dcterms:W3CDTF">2024-10-01T11:06:00Z</dcterms:created>
  <dcterms:modified xsi:type="dcterms:W3CDTF">2024-10-01T11:06:00Z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0x0101000A476B5067A5374487F871AB9746301D</vt:lpwstr>
  </property>
</Properties>
</file>